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1110" w14:textId="223EE91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0B54B5">
        <w:rPr>
          <w:rFonts w:ascii="Arial" w:eastAsia="SimSun" w:hAnsi="Arial" w:cs="Times New Roman"/>
          <w:b/>
          <w:sz w:val="24"/>
          <w:szCs w:val="20"/>
        </w:rPr>
        <w:t>R4-</w:t>
      </w:r>
      <w:r w:rsidR="008212E2" w:rsidRPr="000B54B5">
        <w:rPr>
          <w:rFonts w:eastAsia="SimSun"/>
          <w:b/>
          <w:sz w:val="24"/>
        </w:rPr>
        <w:t xml:space="preserve"> </w:t>
      </w:r>
      <w:r w:rsidR="008212E2" w:rsidRPr="000B54B5">
        <w:rPr>
          <w:rFonts w:ascii="Arial" w:eastAsia="SimSun" w:hAnsi="Arial" w:cs="Times New Roman"/>
          <w:b/>
          <w:sz w:val="24"/>
          <w:szCs w:val="20"/>
        </w:rPr>
        <w:t>2300526</w:t>
      </w:r>
    </w:p>
    <w:p w14:paraId="3FBD508E"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CC824D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3A0A00"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E9E56D4" w14:textId="5AAB7BD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52A81">
        <w:rPr>
          <w:rFonts w:ascii="Arial" w:eastAsia="Calibri" w:hAnsi="Arial" w:cs="Arial"/>
          <w:b/>
          <w:bCs/>
          <w:sz w:val="24"/>
        </w:rPr>
        <w:t xml:space="preserve">Discussion on </w:t>
      </w:r>
      <w:r w:rsidR="00006CD8">
        <w:rPr>
          <w:rFonts w:ascii="Arial" w:eastAsia="Calibri" w:hAnsi="Arial" w:cs="Arial"/>
          <w:b/>
          <w:bCs/>
          <w:sz w:val="24"/>
        </w:rPr>
        <w:t>TCI state switching requirements for FR2 Multi Rx chain reception</w:t>
      </w:r>
    </w:p>
    <w:p w14:paraId="3B75B8AA" w14:textId="41C91D7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3307F" w:rsidRPr="0083307F">
        <w:rPr>
          <w:rFonts w:ascii="Arial" w:eastAsia="MS Mincho" w:hAnsi="Arial" w:cs="Arial"/>
          <w:b/>
          <w:bCs/>
          <w:sz w:val="24"/>
          <w:szCs w:val="20"/>
        </w:rPr>
        <w:t>9.8.3.5</w:t>
      </w:r>
    </w:p>
    <w:p w14:paraId="2E3A2DB2"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8F7DAA3" w14:textId="77777777" w:rsidR="00E323E9" w:rsidRPr="00EF698B" w:rsidRDefault="00E323E9" w:rsidP="00841BCD">
      <w:pPr>
        <w:tabs>
          <w:tab w:val="left" w:pos="1985"/>
        </w:tabs>
        <w:rPr>
          <w:rFonts w:ascii="Arial" w:eastAsia="Calibri" w:hAnsi="Arial" w:cs="Arial"/>
          <w:b/>
          <w:bCs/>
          <w:sz w:val="24"/>
        </w:rPr>
      </w:pPr>
    </w:p>
    <w:p w14:paraId="278B51F1" w14:textId="77777777" w:rsidR="00841BCD" w:rsidRPr="00254763" w:rsidRDefault="00841BCD" w:rsidP="00A37002">
      <w:pPr>
        <w:pStyle w:val="RAN4H1"/>
      </w:pPr>
      <w:bookmarkStart w:id="3" w:name="_Toc116995841"/>
      <w:r w:rsidRPr="00254763">
        <w:t>Intro</w:t>
      </w:r>
      <w:r w:rsidRPr="00254763">
        <w:rPr>
          <w:rStyle w:val="RAN4H1Char"/>
        </w:rPr>
        <w:t>ductio</w:t>
      </w:r>
      <w:r w:rsidRPr="00254763">
        <w:t>n</w:t>
      </w:r>
      <w:bookmarkEnd w:id="3"/>
    </w:p>
    <w:p w14:paraId="7BAF9E82" w14:textId="38A2035E" w:rsidR="0060543D" w:rsidRPr="00EF698B" w:rsidRDefault="00006CD8" w:rsidP="005C23A4">
      <w:r>
        <w:t>In this contribution we continue the discussion for FR2 Multi Rx chain reception work item. The discussion in this contribution concentrates on active TCI state switching related aspects</w:t>
      </w:r>
      <w:r w:rsidR="008617DF">
        <w:t>.</w:t>
      </w:r>
    </w:p>
    <w:p w14:paraId="29482C5B" w14:textId="77777777" w:rsidR="003A3B57" w:rsidRPr="00492BC6" w:rsidRDefault="003A3B57" w:rsidP="003A3B57">
      <w:pPr>
        <w:pStyle w:val="RAN4H1"/>
        <w:rPr>
          <w:lang w:val="en-US"/>
        </w:rPr>
      </w:pPr>
      <w:r w:rsidRPr="00492BC6">
        <w:rPr>
          <w:lang w:val="en-US"/>
        </w:rPr>
        <w:t xml:space="preserve">TCI state switch </w:t>
      </w:r>
      <w:r w:rsidRPr="00492BC6">
        <w:t>scenarios</w:t>
      </w:r>
      <w:r w:rsidRPr="00492BC6">
        <w:rPr>
          <w:lang w:val="en-US"/>
        </w:rPr>
        <w:t> </w:t>
      </w:r>
    </w:p>
    <w:p w14:paraId="50DA57EE" w14:textId="1362E0A4" w:rsidR="003A3B57" w:rsidRDefault="003A3B57" w:rsidP="00DB0635">
      <w:r>
        <w:t xml:space="preserve">In </w:t>
      </w:r>
      <w:r>
        <w:fldChar w:fldCharType="begin"/>
      </w:r>
      <w:r>
        <w:instrText xml:space="preserve"> REF _Ref127176830 \r \h </w:instrText>
      </w:r>
      <w:r>
        <w:fldChar w:fldCharType="separate"/>
      </w:r>
      <w:r>
        <w:t>[1]</w:t>
      </w:r>
      <w:r>
        <w:fldChar w:fldCharType="end"/>
      </w:r>
      <w:r>
        <w:t xml:space="preserve">, the following was agreed about </w:t>
      </w:r>
      <w:r w:rsidR="00A120A6">
        <w:t>the definition</w:t>
      </w:r>
      <w:r w:rsidR="007F2039">
        <w:t xml:space="preserve"> of</w:t>
      </w:r>
      <w:r>
        <w:t xml:space="preserve"> dual TCI state switch for a UE operating in multi-Rx mode:</w:t>
      </w:r>
    </w:p>
    <w:tbl>
      <w:tblPr>
        <w:tblStyle w:val="TableGrid"/>
        <w:tblW w:w="0" w:type="auto"/>
        <w:tblInd w:w="284" w:type="dxa"/>
        <w:tblLook w:val="04A0" w:firstRow="1" w:lastRow="0" w:firstColumn="1" w:lastColumn="0" w:noHBand="0" w:noVBand="1"/>
      </w:tblPr>
      <w:tblGrid>
        <w:gridCol w:w="8765"/>
      </w:tblGrid>
      <w:tr w:rsidR="003A3B57" w14:paraId="532E7BCD" w14:textId="77777777" w:rsidTr="00A120A6">
        <w:trPr>
          <w:trHeight w:val="2210"/>
        </w:trPr>
        <w:tc>
          <w:tcPr>
            <w:tcW w:w="8765" w:type="dxa"/>
          </w:tcPr>
          <w:p w14:paraId="636C1A21" w14:textId="77777777" w:rsidR="003A3B57" w:rsidRDefault="003A3B57" w:rsidP="007D67D2">
            <w:pPr>
              <w:pStyle w:val="paragraph"/>
              <w:spacing w:before="0" w:beforeAutospacing="0" w:after="0" w:afterAutospacing="0"/>
              <w:ind w:left="284"/>
              <w:textAlignment w:val="baseline"/>
              <w:rPr>
                <w:rStyle w:val="eop"/>
                <w:sz w:val="20"/>
                <w:szCs w:val="20"/>
              </w:rPr>
            </w:pPr>
            <w:r>
              <w:rPr>
                <w:rStyle w:val="normaltextrun"/>
                <w:b/>
                <w:bCs/>
                <w:sz w:val="20"/>
                <w:szCs w:val="20"/>
                <w:u w:val="single"/>
                <w:lang w:val="en-GB"/>
              </w:rPr>
              <w:t>Issue 1-1-3: Definition of Dual TCI state switch </w:t>
            </w:r>
            <w:r>
              <w:rPr>
                <w:rStyle w:val="eop"/>
                <w:sz w:val="20"/>
                <w:szCs w:val="20"/>
              </w:rPr>
              <w:t> </w:t>
            </w:r>
          </w:p>
          <w:p w14:paraId="45334791" w14:textId="77777777" w:rsidR="003A3B57" w:rsidRDefault="003A3B57" w:rsidP="007D67D2">
            <w:pPr>
              <w:pStyle w:val="paragraph"/>
              <w:spacing w:before="0" w:beforeAutospacing="0" w:after="0" w:afterAutospacing="0"/>
              <w:ind w:left="284"/>
              <w:textAlignment w:val="baseline"/>
              <w:rPr>
                <w:sz w:val="22"/>
                <w:szCs w:val="22"/>
              </w:rPr>
            </w:pPr>
          </w:p>
          <w:p w14:paraId="5B4D6EE0" w14:textId="77777777" w:rsidR="003A3B57" w:rsidRPr="000F529C" w:rsidRDefault="003A3B57" w:rsidP="007D67D2">
            <w:pPr>
              <w:pStyle w:val="paragraph"/>
              <w:numPr>
                <w:ilvl w:val="0"/>
                <w:numId w:val="34"/>
              </w:numPr>
              <w:spacing w:before="0" w:beforeAutospacing="0" w:after="0" w:afterAutospacing="0"/>
              <w:ind w:left="284" w:firstLine="0"/>
              <w:textAlignment w:val="baseline"/>
              <w:rPr>
                <w:rStyle w:val="eop"/>
                <w:sz w:val="22"/>
                <w:szCs w:val="22"/>
              </w:rPr>
            </w:pPr>
            <w:r>
              <w:rPr>
                <w:rStyle w:val="normaltextrun"/>
                <w:sz w:val="20"/>
                <w:szCs w:val="20"/>
                <w:lang w:val="en-GB"/>
              </w:rPr>
              <w:t>Dual TCI state switching refers to the case when two active TCI states with QCL type D for simultaneous reception of PDCCH/PDSCH are involved before and/or after TCI switching command. </w:t>
            </w:r>
            <w:r>
              <w:rPr>
                <w:rStyle w:val="eop"/>
                <w:sz w:val="20"/>
                <w:szCs w:val="20"/>
              </w:rPr>
              <w:t> </w:t>
            </w:r>
          </w:p>
          <w:p w14:paraId="44A3621D" w14:textId="77777777" w:rsidR="003A3B57" w:rsidRDefault="003A3B57" w:rsidP="007D67D2">
            <w:pPr>
              <w:pStyle w:val="paragraph"/>
              <w:spacing w:before="0" w:beforeAutospacing="0" w:after="0" w:afterAutospacing="0"/>
              <w:ind w:left="284"/>
              <w:textAlignment w:val="baseline"/>
              <w:rPr>
                <w:sz w:val="22"/>
                <w:szCs w:val="22"/>
              </w:rPr>
            </w:pPr>
          </w:p>
          <w:p w14:paraId="4AF7CB1A" w14:textId="77777777" w:rsidR="003A3B57" w:rsidRDefault="003A3B57" w:rsidP="007D67D2">
            <w:pPr>
              <w:pStyle w:val="paragraph"/>
              <w:numPr>
                <w:ilvl w:val="0"/>
                <w:numId w:val="34"/>
              </w:numPr>
              <w:spacing w:before="0" w:beforeAutospacing="0" w:after="0" w:afterAutospacing="0"/>
              <w:ind w:left="284" w:firstLine="0"/>
              <w:textAlignment w:val="baseline"/>
              <w:rPr>
                <w:sz w:val="22"/>
                <w:szCs w:val="22"/>
              </w:rPr>
            </w:pPr>
            <w:r>
              <w:rPr>
                <w:rStyle w:val="normaltextrun"/>
                <w:sz w:val="20"/>
                <w:szCs w:val="20"/>
                <w:lang w:val="en-GB"/>
              </w:rPr>
              <w:t>In other words, following are considered as dual TCI state switching to discuss the requirements </w:t>
            </w:r>
            <w:r>
              <w:rPr>
                <w:rStyle w:val="eop"/>
                <w:sz w:val="20"/>
                <w:szCs w:val="20"/>
              </w:rPr>
              <w:t> </w:t>
            </w:r>
          </w:p>
          <w:p w14:paraId="1F3772BF" w14:textId="77777777" w:rsidR="003A3B57" w:rsidRDefault="003A3B57" w:rsidP="007D67D2">
            <w:pPr>
              <w:pStyle w:val="paragraph"/>
              <w:numPr>
                <w:ilvl w:val="0"/>
                <w:numId w:val="35"/>
              </w:numPr>
              <w:spacing w:before="0" w:beforeAutospacing="0" w:after="0" w:afterAutospacing="0"/>
              <w:ind w:left="1214" w:firstLine="0"/>
              <w:textAlignment w:val="baseline"/>
              <w:rPr>
                <w:sz w:val="22"/>
                <w:szCs w:val="22"/>
              </w:rPr>
            </w:pPr>
            <w:r>
              <w:rPr>
                <w:rStyle w:val="normaltextrun"/>
                <w:sz w:val="20"/>
                <w:szCs w:val="20"/>
                <w:lang w:val="en-GB"/>
              </w:rPr>
              <w:t>Single DCI to Dual TCI</w:t>
            </w:r>
            <w:r>
              <w:rPr>
                <w:rStyle w:val="eop"/>
                <w:sz w:val="20"/>
                <w:szCs w:val="20"/>
              </w:rPr>
              <w:t> </w:t>
            </w:r>
          </w:p>
          <w:p w14:paraId="2D39DC1C" w14:textId="77777777" w:rsidR="003A3B57" w:rsidRDefault="003A3B57" w:rsidP="007D67D2">
            <w:pPr>
              <w:pStyle w:val="paragraph"/>
              <w:numPr>
                <w:ilvl w:val="0"/>
                <w:numId w:val="35"/>
              </w:numPr>
              <w:spacing w:before="0" w:beforeAutospacing="0" w:after="0" w:afterAutospacing="0"/>
              <w:ind w:left="1214" w:firstLine="0"/>
              <w:textAlignment w:val="baseline"/>
              <w:rPr>
                <w:sz w:val="22"/>
                <w:szCs w:val="22"/>
              </w:rPr>
            </w:pPr>
            <w:r>
              <w:rPr>
                <w:rStyle w:val="normaltextrun"/>
                <w:sz w:val="20"/>
                <w:szCs w:val="20"/>
                <w:lang w:val="en-GB"/>
              </w:rPr>
              <w:t>Dual TCI to Dual TCI </w:t>
            </w:r>
            <w:r>
              <w:rPr>
                <w:rStyle w:val="eop"/>
                <w:sz w:val="20"/>
                <w:szCs w:val="20"/>
              </w:rPr>
              <w:t> </w:t>
            </w:r>
          </w:p>
          <w:p w14:paraId="1FBDE608" w14:textId="77777777" w:rsidR="003A3B57" w:rsidRPr="00EC6749" w:rsidRDefault="003A3B57" w:rsidP="007D67D2">
            <w:pPr>
              <w:pStyle w:val="paragraph"/>
              <w:numPr>
                <w:ilvl w:val="0"/>
                <w:numId w:val="36"/>
              </w:numPr>
              <w:spacing w:before="0" w:beforeAutospacing="0" w:after="0" w:afterAutospacing="0"/>
              <w:ind w:left="1214" w:firstLine="0"/>
              <w:textAlignment w:val="baseline"/>
              <w:rPr>
                <w:rFonts w:eastAsia="SimSun"/>
                <w:lang w:eastAsia="zh-CN"/>
              </w:rPr>
            </w:pPr>
            <w:r>
              <w:rPr>
                <w:rStyle w:val="normaltextrun"/>
                <w:sz w:val="20"/>
                <w:szCs w:val="20"/>
                <w:lang w:val="en-GB"/>
              </w:rPr>
              <w:t>FFS: Dual TCI to Single TCI</w:t>
            </w:r>
            <w:r>
              <w:rPr>
                <w:rStyle w:val="eop"/>
                <w:sz w:val="20"/>
                <w:szCs w:val="20"/>
              </w:rPr>
              <w:t> </w:t>
            </w:r>
          </w:p>
        </w:tc>
      </w:tr>
    </w:tbl>
    <w:p w14:paraId="39503879" w14:textId="77777777" w:rsidR="003A3B57" w:rsidRDefault="003A3B57" w:rsidP="00A120A6">
      <w:pPr>
        <w:pStyle w:val="ListParagraph"/>
        <w:ind w:left="224"/>
      </w:pPr>
    </w:p>
    <w:p w14:paraId="2BD81BE4" w14:textId="7D9B1578" w:rsidR="000C7D98" w:rsidRPr="00C04410" w:rsidRDefault="000C7D98" w:rsidP="00A120A6">
      <w:pPr>
        <w:pStyle w:val="ListParagraph"/>
        <w:ind w:left="224"/>
        <w:rPr>
          <w:b/>
          <w:bCs/>
          <w:i/>
          <w:iCs/>
          <w:u w:val="single"/>
        </w:rPr>
      </w:pPr>
      <w:r w:rsidRPr="00C04410">
        <w:rPr>
          <w:b/>
          <w:bCs/>
          <w:i/>
          <w:iCs/>
          <w:u w:val="single"/>
        </w:rPr>
        <w:t>Dual TCI to single TCI</w:t>
      </w:r>
    </w:p>
    <w:p w14:paraId="231C31B1" w14:textId="77777777" w:rsidR="000A57FE" w:rsidRDefault="000A57FE" w:rsidP="000A57FE">
      <w:r>
        <w:t>It was left FFS whether a switch from dual TCI to single TCI should be considered as dual TCI state switch. In the following we will give some analysis about this scenario.</w:t>
      </w:r>
    </w:p>
    <w:p w14:paraId="55933AFE" w14:textId="37D534C1" w:rsidR="003A3B57" w:rsidRDefault="003A3B57" w:rsidP="00DB0635">
      <w:r>
        <w:t>Dual TCI to single TCI state switch could have the following scenarios</w:t>
      </w:r>
      <w:r w:rsidR="000A57FE">
        <w:t>:</w:t>
      </w:r>
    </w:p>
    <w:p w14:paraId="0C4B1597" w14:textId="77777777" w:rsidR="003A3B57" w:rsidRPr="00716C54" w:rsidRDefault="003A3B57" w:rsidP="00A120A6">
      <w:pPr>
        <w:pStyle w:val="ListParagraph"/>
        <w:numPr>
          <w:ilvl w:val="0"/>
          <w:numId w:val="37"/>
        </w:numPr>
        <w:overflowPunct w:val="0"/>
        <w:autoSpaceDE w:val="0"/>
        <w:autoSpaceDN w:val="0"/>
        <w:adjustRightInd w:val="0"/>
        <w:spacing w:after="180" w:line="240" w:lineRule="auto"/>
        <w:ind w:left="928"/>
        <w:textAlignment w:val="baseline"/>
        <w:rPr>
          <w:rStyle w:val="normaltextrun"/>
        </w:rPr>
      </w:pPr>
      <w:r>
        <w:t xml:space="preserve">Switch from </w:t>
      </w:r>
      <w:r>
        <w:rPr>
          <w:rStyle w:val="normaltextrun"/>
        </w:rPr>
        <w:t xml:space="preserve">two active TCI states with QCL type D for simultaneous reception of PDSCH to one active TCI state for reception of PDSCH </w:t>
      </w:r>
    </w:p>
    <w:p w14:paraId="37880A3D" w14:textId="77777777" w:rsidR="003A3B57" w:rsidRPr="00716C54" w:rsidRDefault="003A3B57" w:rsidP="00A120A6">
      <w:pPr>
        <w:pStyle w:val="ListParagraph"/>
        <w:numPr>
          <w:ilvl w:val="0"/>
          <w:numId w:val="37"/>
        </w:numPr>
        <w:overflowPunct w:val="0"/>
        <w:autoSpaceDE w:val="0"/>
        <w:autoSpaceDN w:val="0"/>
        <w:adjustRightInd w:val="0"/>
        <w:spacing w:after="180" w:line="240" w:lineRule="auto"/>
        <w:ind w:left="928"/>
        <w:textAlignment w:val="baseline"/>
        <w:rPr>
          <w:rStyle w:val="normaltextrun"/>
        </w:rPr>
      </w:pPr>
      <w:r>
        <w:t xml:space="preserve">Switch from </w:t>
      </w:r>
      <w:r>
        <w:rPr>
          <w:rStyle w:val="normaltextrun"/>
        </w:rPr>
        <w:t xml:space="preserve">two active TCI states with QCL type D for simultaneous reception of PDCCH to one active TCI state for reception of PDCCH </w:t>
      </w:r>
    </w:p>
    <w:p w14:paraId="78FD8B77" w14:textId="77777777" w:rsidR="003A3B57" w:rsidRDefault="003A3B57" w:rsidP="003A3B57">
      <w:pPr>
        <w:pStyle w:val="ListParagraph"/>
        <w:ind w:left="792"/>
      </w:pPr>
    </w:p>
    <w:p w14:paraId="31DC551C" w14:textId="77777777" w:rsidR="003A3B57" w:rsidRDefault="003A3B57" w:rsidP="003A3B57">
      <w:pPr>
        <w:pStyle w:val="ListParagraph"/>
        <w:ind w:left="792"/>
      </w:pPr>
    </w:p>
    <w:p w14:paraId="6CB9D6D4" w14:textId="24801F7E" w:rsidR="003A3B57" w:rsidRDefault="00874C6B" w:rsidP="00FC4FEE">
      <w:pPr>
        <w:pStyle w:val="Caption"/>
        <w:ind w:left="792"/>
        <w:jc w:val="left"/>
        <w:rPr>
          <w:b/>
          <w:bCs/>
        </w:rPr>
      </w:pPr>
      <w:r>
        <w:rPr>
          <w:noProof/>
        </w:rPr>
        <w:drawing>
          <wp:inline distT="0" distB="0" distL="0" distR="0" wp14:anchorId="6244D866" wp14:editId="70C69044">
            <wp:extent cx="6113145" cy="1431290"/>
            <wp:effectExtent l="19050" t="19050" r="20955" b="165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3145" cy="1431290"/>
                    </a:xfrm>
                    <a:prstGeom prst="rect">
                      <a:avLst/>
                    </a:prstGeom>
                    <a:ln>
                      <a:solidFill>
                        <a:schemeClr val="tx1"/>
                      </a:solidFill>
                    </a:ln>
                  </pic:spPr>
                </pic:pic>
              </a:graphicData>
            </a:graphic>
          </wp:inline>
        </w:drawing>
      </w:r>
      <w:r w:rsidR="003A3B57">
        <w:tab/>
      </w:r>
      <w:r w:rsidR="003A3B57">
        <w:tab/>
      </w:r>
      <w:r w:rsidR="003A3B57" w:rsidRPr="00F61D83">
        <w:t xml:space="preserve">Figure </w:t>
      </w:r>
      <w:fldSimple w:instr=" SEQ Figure \* ARABIC ">
        <w:r w:rsidR="008E5B14">
          <w:rPr>
            <w:noProof/>
          </w:rPr>
          <w:t>1</w:t>
        </w:r>
      </w:fldSimple>
      <w:r w:rsidR="003A3B57" w:rsidRPr="00F61D83">
        <w:t xml:space="preserve">: </w:t>
      </w:r>
      <w:r w:rsidR="003A3B57" w:rsidRPr="00F61D83">
        <w:rPr>
          <w:bCs/>
        </w:rPr>
        <w:t>Dual to Single TCI state switch for PDSCH</w:t>
      </w:r>
    </w:p>
    <w:p w14:paraId="3073840B" w14:textId="77777777" w:rsidR="003A3B57" w:rsidRDefault="003A3B57" w:rsidP="003A3B57"/>
    <w:p w14:paraId="5A9D6BBE" w14:textId="78B0461B" w:rsidR="003A3B57" w:rsidRDefault="003A3B57" w:rsidP="00DB0635">
      <w:r w:rsidRPr="00F61D83">
        <w:t xml:space="preserve">In case of a </w:t>
      </w:r>
      <w:r>
        <w:t>dual to single TCI state switch for PDSCH (</w:t>
      </w:r>
      <w:r w:rsidR="00C84CE3">
        <w:t>Figure 1</w:t>
      </w:r>
      <w:r>
        <w:t>), since the UE still receives one PDSCH from one of the TRPs this scenario can be treated as a legacy single TRP case and hence legacy TCI state switch requirement will be applicable.</w:t>
      </w:r>
    </w:p>
    <w:p w14:paraId="643B3861" w14:textId="50DBA69C" w:rsidR="003A3B57" w:rsidRDefault="003A3B57" w:rsidP="003A3B57">
      <w:pPr>
        <w:pStyle w:val="RAN4observation0"/>
        <w:rPr>
          <w:sz w:val="18"/>
          <w:szCs w:val="18"/>
        </w:rPr>
      </w:pPr>
      <w:bookmarkStart w:id="4" w:name="_Toc127557096"/>
      <w:r w:rsidRPr="006937FF">
        <w:t xml:space="preserve">In a dual TCI to single TCI state switch scenario for PDSCH, the UE will still receive one PDSCH. This is </w:t>
      </w:r>
      <w:proofErr w:type="gramStart"/>
      <w:r w:rsidRPr="006937FF">
        <w:t>similar to</w:t>
      </w:r>
      <w:proofErr w:type="gramEnd"/>
      <w:r w:rsidRPr="006937FF">
        <w:t xml:space="preserve"> the legacy single TRP scenario.</w:t>
      </w:r>
      <w:bookmarkEnd w:id="4"/>
      <w:r w:rsidRPr="006937FF">
        <w:tab/>
      </w:r>
    </w:p>
    <w:p w14:paraId="4EEED1B4" w14:textId="66AAB541" w:rsidR="003A3B57" w:rsidRDefault="003A3B57" w:rsidP="00DB0635">
      <w:r>
        <w:t xml:space="preserve">In case of </w:t>
      </w:r>
      <w:r w:rsidRPr="00F61D83">
        <w:t xml:space="preserve">a </w:t>
      </w:r>
      <w:r>
        <w:t xml:space="preserve">dual to single TCI state switch and vice versa for PDCCH, </w:t>
      </w:r>
      <w:r w:rsidRPr="004F7A22">
        <w:t xml:space="preserve">which is essentially a </w:t>
      </w:r>
      <w:r>
        <w:t xml:space="preserve">switch between </w:t>
      </w:r>
      <w:proofErr w:type="spellStart"/>
      <w:r>
        <w:t>mDCI</w:t>
      </w:r>
      <w:proofErr w:type="spellEnd"/>
      <w:r>
        <w:t xml:space="preserve"> and </w:t>
      </w:r>
      <w:proofErr w:type="spellStart"/>
      <w:r>
        <w:t>sDCI</w:t>
      </w:r>
      <w:proofErr w:type="spellEnd"/>
      <w:r>
        <w:t xml:space="preserve"> </w:t>
      </w:r>
      <w:r w:rsidRPr="004F7A22">
        <w:t>scenario</w:t>
      </w:r>
      <w:r>
        <w:t>s</w:t>
      </w:r>
      <w:r w:rsidRPr="004F7A22">
        <w:t xml:space="preserve">, </w:t>
      </w:r>
      <w:r>
        <w:t xml:space="preserve">RRC based TCI state signaling requirements will apply. </w:t>
      </w:r>
    </w:p>
    <w:p w14:paraId="3DF860C5" w14:textId="4B15A71D" w:rsidR="00D9507F" w:rsidRDefault="00D9507F" w:rsidP="00DB0635">
      <w:r>
        <w:rPr>
          <w:noProof/>
        </w:rPr>
        <w:drawing>
          <wp:inline distT="0" distB="0" distL="0" distR="0" wp14:anchorId="1183139E" wp14:editId="0C8B2C3B">
            <wp:extent cx="6108700" cy="1238250"/>
            <wp:effectExtent l="19050" t="19050" r="25400"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700" cy="1238250"/>
                    </a:xfrm>
                    <a:prstGeom prst="rect">
                      <a:avLst/>
                    </a:prstGeom>
                    <a:noFill/>
                    <a:ln w="3175">
                      <a:solidFill>
                        <a:schemeClr val="tx1"/>
                      </a:solidFill>
                    </a:ln>
                  </pic:spPr>
                </pic:pic>
              </a:graphicData>
            </a:graphic>
          </wp:inline>
        </w:drawing>
      </w:r>
    </w:p>
    <w:p w14:paraId="1E601E8F" w14:textId="12B28BD2" w:rsidR="003A3B57" w:rsidRDefault="003A3B57" w:rsidP="00DB0635">
      <w:pPr>
        <w:jc w:val="center"/>
        <w:rPr>
          <w:sz w:val="18"/>
          <w:szCs w:val="18"/>
        </w:rPr>
      </w:pPr>
      <w:r w:rsidRPr="00F61D83">
        <w:rPr>
          <w:b/>
          <w:bCs/>
          <w:sz w:val="18"/>
          <w:szCs w:val="18"/>
        </w:rPr>
        <w:t xml:space="preserve">Figure </w:t>
      </w:r>
      <w:r w:rsidRPr="00F61D83">
        <w:rPr>
          <w:b/>
          <w:bCs/>
          <w:sz w:val="18"/>
          <w:szCs w:val="18"/>
        </w:rPr>
        <w:fldChar w:fldCharType="begin"/>
      </w:r>
      <w:r w:rsidRPr="00F61D83">
        <w:rPr>
          <w:b/>
          <w:bCs/>
          <w:sz w:val="18"/>
          <w:szCs w:val="18"/>
        </w:rPr>
        <w:instrText xml:space="preserve"> SEQ Figure \* ARABIC </w:instrText>
      </w:r>
      <w:r w:rsidRPr="00F61D83">
        <w:rPr>
          <w:b/>
          <w:bCs/>
          <w:sz w:val="18"/>
          <w:szCs w:val="18"/>
        </w:rPr>
        <w:fldChar w:fldCharType="separate"/>
      </w:r>
      <w:r w:rsidR="008E5B14">
        <w:rPr>
          <w:b/>
          <w:bCs/>
          <w:noProof/>
          <w:sz w:val="18"/>
          <w:szCs w:val="18"/>
        </w:rPr>
        <w:t>2</w:t>
      </w:r>
      <w:r w:rsidRPr="00F61D83">
        <w:rPr>
          <w:b/>
          <w:bCs/>
          <w:sz w:val="18"/>
          <w:szCs w:val="18"/>
        </w:rPr>
        <w:fldChar w:fldCharType="end"/>
      </w:r>
      <w:r w:rsidRPr="00F61D83">
        <w:rPr>
          <w:b/>
          <w:bCs/>
          <w:sz w:val="18"/>
          <w:szCs w:val="18"/>
        </w:rPr>
        <w:t xml:space="preserve">: </w:t>
      </w:r>
      <w:r w:rsidRPr="00F61D83">
        <w:rPr>
          <w:sz w:val="18"/>
          <w:szCs w:val="18"/>
        </w:rPr>
        <w:t>Dual to Single TCI state switch for PDCCH</w:t>
      </w:r>
    </w:p>
    <w:p w14:paraId="131EB11A" w14:textId="3C4DBF9E" w:rsidR="00C27355" w:rsidRDefault="003A3B57" w:rsidP="007353DA">
      <w:pPr>
        <w:pStyle w:val="RAN4proposal"/>
        <w:numPr>
          <w:ilvl w:val="0"/>
          <w:numId w:val="0"/>
        </w:numPr>
        <w:rPr>
          <w:bCs/>
          <w:i/>
          <w:u w:val="single"/>
        </w:rPr>
      </w:pPr>
      <w:r>
        <w:t xml:space="preserve"> </w:t>
      </w:r>
    </w:p>
    <w:p w14:paraId="28A79A07" w14:textId="4A57532D" w:rsidR="007353DA" w:rsidRPr="00A85680" w:rsidRDefault="007353DA" w:rsidP="00EA48DC">
      <w:pPr>
        <w:rPr>
          <w:b/>
          <w:bCs/>
          <w:i/>
          <w:iCs/>
          <w:u w:val="single"/>
        </w:rPr>
      </w:pPr>
      <w:r w:rsidRPr="00A85680">
        <w:rPr>
          <w:b/>
          <w:bCs/>
          <w:i/>
          <w:iCs/>
          <w:u w:val="single"/>
        </w:rPr>
        <w:t xml:space="preserve">Switching between </w:t>
      </w:r>
      <w:r w:rsidR="00B92FC3" w:rsidRPr="00A85680">
        <w:rPr>
          <w:b/>
          <w:bCs/>
          <w:i/>
          <w:iCs/>
          <w:u w:val="single"/>
        </w:rPr>
        <w:t xml:space="preserve">single DCI and </w:t>
      </w:r>
      <w:proofErr w:type="gramStart"/>
      <w:r w:rsidR="00B92FC3" w:rsidRPr="00A85680">
        <w:rPr>
          <w:b/>
          <w:bCs/>
          <w:i/>
          <w:iCs/>
          <w:u w:val="single"/>
        </w:rPr>
        <w:t>multi DCI</w:t>
      </w:r>
      <w:proofErr w:type="gramEnd"/>
    </w:p>
    <w:p w14:paraId="0DE8A255" w14:textId="77777777" w:rsidR="00863592" w:rsidRDefault="00863592" w:rsidP="00863592"/>
    <w:p w14:paraId="423C621C" w14:textId="70AC00A6" w:rsidR="00863592" w:rsidRPr="00863592" w:rsidRDefault="00681434" w:rsidP="007F218E">
      <w:pPr>
        <w:jc w:val="center"/>
      </w:pPr>
      <w:r>
        <w:rPr>
          <w:noProof/>
        </w:rPr>
        <w:drawing>
          <wp:inline distT="0" distB="0" distL="0" distR="0" wp14:anchorId="77490C1D" wp14:editId="6D7659C2">
            <wp:extent cx="4904740" cy="3504565"/>
            <wp:effectExtent l="19050" t="19050" r="10160" b="196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4740" cy="3504565"/>
                    </a:xfrm>
                    <a:prstGeom prst="rect">
                      <a:avLst/>
                    </a:prstGeom>
                    <a:noFill/>
                    <a:ln w="0">
                      <a:solidFill>
                        <a:schemeClr val="tx1"/>
                      </a:solidFill>
                    </a:ln>
                  </pic:spPr>
                </pic:pic>
              </a:graphicData>
            </a:graphic>
          </wp:inline>
        </w:drawing>
      </w:r>
    </w:p>
    <w:p w14:paraId="3CC386F2" w14:textId="11A1DF63" w:rsidR="00DE23BC" w:rsidRDefault="00DE23BC" w:rsidP="005E0A1D">
      <w:pPr>
        <w:jc w:val="center"/>
      </w:pPr>
    </w:p>
    <w:p w14:paraId="57F19644" w14:textId="1DAEC1D3" w:rsidR="00DE5B20" w:rsidRDefault="00DE5B20" w:rsidP="00DE5B20">
      <w:pPr>
        <w:pStyle w:val="Caption"/>
        <w:rPr>
          <w:b/>
          <w:bCs/>
        </w:rPr>
      </w:pPr>
      <w:bookmarkStart w:id="5" w:name="_Ref127526741"/>
      <w:r>
        <w:t xml:space="preserve">Figure </w:t>
      </w:r>
      <w:fldSimple w:instr=" SEQ Figure \* ARABIC ">
        <w:r w:rsidR="00953793">
          <w:rPr>
            <w:noProof/>
          </w:rPr>
          <w:t>3</w:t>
        </w:r>
      </w:fldSimple>
      <w:bookmarkEnd w:id="5"/>
      <w:r>
        <w:t>: s-DCI to m-DCI switch via RRC reconfiguration</w:t>
      </w:r>
    </w:p>
    <w:p w14:paraId="743175D0" w14:textId="3AFB8CB8" w:rsidR="00DE23BC" w:rsidRDefault="00F51DAC" w:rsidP="00DE23BC">
      <w:r w:rsidRPr="005E0A1D">
        <w:rPr>
          <w:lang w:eastAsia="zh-CN"/>
        </w:rPr>
        <w:t>The above figure shows a single DCI to multi-DCI switch</w:t>
      </w:r>
      <w:r w:rsidR="00955450">
        <w:rPr>
          <w:lang w:eastAsia="zh-CN"/>
        </w:rPr>
        <w:t xml:space="preserve"> </w:t>
      </w:r>
      <w:r w:rsidRPr="005E0A1D">
        <w:rPr>
          <w:lang w:eastAsia="zh-CN"/>
        </w:rPr>
        <w:t xml:space="preserve">and vice versa. Here the UE is initially configured </w:t>
      </w:r>
      <w:r w:rsidR="00B8540D" w:rsidRPr="005E0A1D">
        <w:rPr>
          <w:lang w:eastAsia="zh-CN"/>
        </w:rPr>
        <w:t>for single DCI</w:t>
      </w:r>
      <w:r w:rsidR="00164319" w:rsidRPr="005E0A1D">
        <w:rPr>
          <w:lang w:eastAsia="zh-CN"/>
        </w:rPr>
        <w:t xml:space="preserve"> where PDCCH is indicated for </w:t>
      </w:r>
      <w:r w:rsidR="001707D0" w:rsidRPr="005E0A1D">
        <w:rPr>
          <w:lang w:eastAsia="zh-CN"/>
        </w:rPr>
        <w:t xml:space="preserve">only 1 TRP. </w:t>
      </w:r>
      <w:r w:rsidR="000C76C8" w:rsidRPr="005E0A1D">
        <w:rPr>
          <w:lang w:eastAsia="zh-CN"/>
        </w:rPr>
        <w:t xml:space="preserve">In step 1, the UE is </w:t>
      </w:r>
      <w:r w:rsidR="00B67C18" w:rsidRPr="005E0A1D">
        <w:rPr>
          <w:lang w:eastAsia="zh-CN"/>
        </w:rPr>
        <w:t xml:space="preserve">configured via RRC reconfiguration to use </w:t>
      </w:r>
      <w:r w:rsidR="00C675B3" w:rsidRPr="005E0A1D">
        <w:rPr>
          <w:lang w:eastAsia="zh-CN"/>
        </w:rPr>
        <w:t xml:space="preserve">multi-DCI. </w:t>
      </w:r>
      <w:r w:rsidR="00890275" w:rsidRPr="005E0A1D">
        <w:rPr>
          <w:lang w:eastAsia="zh-CN"/>
        </w:rPr>
        <w:t xml:space="preserve">Since </w:t>
      </w:r>
      <w:r w:rsidR="00B579DA">
        <w:rPr>
          <w:lang w:eastAsia="zh-CN"/>
        </w:rPr>
        <w:t>t</w:t>
      </w:r>
      <w:r w:rsidR="00B579DA" w:rsidRPr="009C5807">
        <w:rPr>
          <w:lang w:eastAsia="zh-CN"/>
        </w:rPr>
        <w:t xml:space="preserve">he </w:t>
      </w:r>
      <w:r w:rsidR="00B579DA">
        <w:rPr>
          <w:lang w:eastAsia="zh-CN"/>
        </w:rPr>
        <w:t xml:space="preserve">current </w:t>
      </w:r>
      <w:r w:rsidR="00B579DA" w:rsidRPr="009C5807">
        <w:rPr>
          <w:lang w:eastAsia="zh-CN"/>
        </w:rPr>
        <w:t>requirements for RRC based TCI state switch delay apply when only 1 TCI state is configured in RRC TCI state list</w:t>
      </w:r>
      <w:r w:rsidR="00945B0B">
        <w:rPr>
          <w:lang w:eastAsia="zh-CN"/>
        </w:rPr>
        <w:t xml:space="preserve">, </w:t>
      </w:r>
      <w:r w:rsidR="00C13BCC">
        <w:rPr>
          <w:lang w:eastAsia="zh-CN"/>
        </w:rPr>
        <w:t>t</w:t>
      </w:r>
      <w:r w:rsidR="00B579DA">
        <w:rPr>
          <w:lang w:eastAsia="zh-CN"/>
        </w:rPr>
        <w:t xml:space="preserve">his needs to be updated to reflect the switch from/to s-DCI to/from m-DCI where the UE will receive two target TCI states. </w:t>
      </w:r>
      <w:r w:rsidR="00273846">
        <w:rPr>
          <w:lang w:eastAsia="zh-CN"/>
        </w:rPr>
        <w:t xml:space="preserve"> In step </w:t>
      </w:r>
      <w:r w:rsidR="00933FAA">
        <w:rPr>
          <w:lang w:eastAsia="zh-CN"/>
        </w:rPr>
        <w:t>7 of the a</w:t>
      </w:r>
      <w:r w:rsidR="00B66A1E">
        <w:rPr>
          <w:lang w:eastAsia="zh-CN"/>
        </w:rPr>
        <w:t xml:space="preserve">bove figure, </w:t>
      </w:r>
      <w:r w:rsidR="0033154F">
        <w:rPr>
          <w:lang w:eastAsia="zh-CN"/>
        </w:rPr>
        <w:t>the U</w:t>
      </w:r>
      <w:r w:rsidR="00BA4E2C">
        <w:rPr>
          <w:lang w:eastAsia="zh-CN"/>
        </w:rPr>
        <w:t xml:space="preserve">E is configured using RRC signaling to switch from multi-DCI to single-DCI. </w:t>
      </w:r>
      <w:r w:rsidR="005E0A1D">
        <w:rPr>
          <w:lang w:eastAsia="zh-CN"/>
        </w:rPr>
        <w:t xml:space="preserve">Since a single target TCI state is indicated, in this case the </w:t>
      </w:r>
      <w:proofErr w:type="gramStart"/>
      <w:r w:rsidR="005E0A1D">
        <w:rPr>
          <w:lang w:eastAsia="zh-CN"/>
        </w:rPr>
        <w:t xml:space="preserve">legacy  </w:t>
      </w:r>
      <w:r w:rsidR="005E0A1D" w:rsidRPr="005E0A1D">
        <w:rPr>
          <w:lang w:eastAsia="zh-CN"/>
        </w:rPr>
        <w:t>RRC</w:t>
      </w:r>
      <w:proofErr w:type="gramEnd"/>
      <w:r w:rsidR="005E0A1D" w:rsidRPr="005E0A1D">
        <w:rPr>
          <w:lang w:eastAsia="zh-CN"/>
        </w:rPr>
        <w:t xml:space="preserve"> based TCI state switch delay requirements can be reused</w:t>
      </w:r>
      <w:r w:rsidR="001B758E">
        <w:rPr>
          <w:lang w:eastAsia="zh-CN"/>
        </w:rPr>
        <w:t>.</w:t>
      </w:r>
    </w:p>
    <w:p w14:paraId="68812039" w14:textId="15939434" w:rsidR="003A3B57" w:rsidRDefault="00306C2D" w:rsidP="0049646C">
      <w:pPr>
        <w:pStyle w:val="RAN4observation0"/>
        <w:rPr>
          <w:b/>
        </w:rPr>
      </w:pPr>
      <w:bookmarkStart w:id="6" w:name="_Toc127540197"/>
      <w:bookmarkStart w:id="7" w:name="_Toc127540276"/>
      <w:bookmarkStart w:id="8" w:name="_Toc127540632"/>
      <w:bookmarkStart w:id="9" w:name="_Toc127541371"/>
      <w:bookmarkStart w:id="10" w:name="_Toc127557097"/>
      <w:bookmarkEnd w:id="6"/>
      <w:bookmarkEnd w:id="7"/>
      <w:bookmarkEnd w:id="8"/>
      <w:bookmarkEnd w:id="9"/>
      <w:r>
        <w:t xml:space="preserve">Existing </w:t>
      </w:r>
      <w:r w:rsidR="003A3B57">
        <w:t xml:space="preserve">defined requirements for </w:t>
      </w:r>
      <w:r>
        <w:t xml:space="preserve">RRC-based </w:t>
      </w:r>
      <w:r w:rsidR="003A3B57">
        <w:t>TCI state switch delay apply only when 1 TCI state is configured in RRC state list.</w:t>
      </w:r>
      <w:bookmarkEnd w:id="10"/>
      <w:r w:rsidR="003A3B57">
        <w:t xml:space="preserve"> </w:t>
      </w:r>
    </w:p>
    <w:p w14:paraId="0BA12F71" w14:textId="11093276" w:rsidR="00924B35" w:rsidRDefault="00924B35" w:rsidP="00924B35"/>
    <w:p w14:paraId="6C9C9D4E" w14:textId="0A76D39F" w:rsidR="00924B35" w:rsidRPr="00924B35" w:rsidRDefault="00924B35" w:rsidP="00924B35">
      <w:pPr>
        <w:pStyle w:val="RAN4proposal"/>
      </w:pPr>
      <w:bookmarkStart w:id="11" w:name="_Toc127557098"/>
      <w:r>
        <w:t xml:space="preserve">RRC based </w:t>
      </w:r>
      <w:r w:rsidRPr="00F01F0A">
        <w:t xml:space="preserve">TCI </w:t>
      </w:r>
      <w:r w:rsidRPr="00492BC6">
        <w:t>state</w:t>
      </w:r>
      <w:r w:rsidRPr="00F01F0A">
        <w:t xml:space="preserve"> switch </w:t>
      </w:r>
      <w:r w:rsidRPr="0082182C">
        <w:t>delay</w:t>
      </w:r>
      <w:r w:rsidRPr="00F01F0A">
        <w:t xml:space="preserve"> requirements need to be updated to reflect the switch from s-DCI to m-DCI where the UE will receive two target TCI states</w:t>
      </w:r>
      <w:bookmarkEnd w:id="11"/>
    </w:p>
    <w:p w14:paraId="74F20125" w14:textId="77777777" w:rsidR="004D4923" w:rsidRPr="00492BC6" w:rsidRDefault="004D4923" w:rsidP="004D4923">
      <w:pPr>
        <w:pStyle w:val="RAN4H1"/>
        <w:rPr>
          <w:lang w:val="en-US"/>
        </w:rPr>
      </w:pPr>
      <w:r w:rsidRPr="00492BC6">
        <w:rPr>
          <w:lang w:val="en-US"/>
        </w:rPr>
        <w:t xml:space="preserve">TCI state switching delay in </w:t>
      </w:r>
      <w:r w:rsidRPr="00492BC6">
        <w:t>different</w:t>
      </w:r>
      <w:r w:rsidRPr="00492BC6">
        <w:rPr>
          <w:lang w:val="en-US"/>
        </w:rPr>
        <w:t xml:space="preserve"> scenarios</w:t>
      </w:r>
    </w:p>
    <w:p w14:paraId="0322DF0F" w14:textId="7170AA9E" w:rsidR="004D4923" w:rsidRPr="009E6EA5" w:rsidRDefault="004D4923" w:rsidP="004D4923">
      <w:pPr>
        <w:pStyle w:val="RAN4H2"/>
      </w:pPr>
      <w:r w:rsidRPr="00006CD8">
        <w:t xml:space="preserve">Single-DCI based TCI </w:t>
      </w:r>
      <w:r w:rsidRPr="009E6EA5">
        <w:t>state switching requirements</w:t>
      </w:r>
    </w:p>
    <w:p w14:paraId="6BD3E43D" w14:textId="77777777" w:rsidR="004D4923" w:rsidRPr="00FE3550" w:rsidRDefault="004D4923" w:rsidP="004D4923">
      <w:r>
        <w:t xml:space="preserve">In </w:t>
      </w:r>
      <w:r>
        <w:fldChar w:fldCharType="begin"/>
      </w:r>
      <w:r>
        <w:instrText xml:space="preserve"> REF _Ref127176830 \r \h </w:instrText>
      </w:r>
      <w:r>
        <w:fldChar w:fldCharType="separate"/>
      </w:r>
      <w:r>
        <w:t>[1]</w:t>
      </w:r>
      <w:r>
        <w:fldChar w:fldCharType="end"/>
      </w:r>
      <w:r>
        <w:t>, the following was agreed about single-DCI based TCI state switching:</w:t>
      </w:r>
    </w:p>
    <w:tbl>
      <w:tblPr>
        <w:tblStyle w:val="TableGrid"/>
        <w:tblW w:w="0" w:type="auto"/>
        <w:tblInd w:w="568" w:type="dxa"/>
        <w:tblLook w:val="04A0" w:firstRow="1" w:lastRow="0" w:firstColumn="1" w:lastColumn="0" w:noHBand="0" w:noVBand="1"/>
      </w:tblPr>
      <w:tblGrid>
        <w:gridCol w:w="8977"/>
      </w:tblGrid>
      <w:tr w:rsidR="004D4923" w14:paraId="3D654E00" w14:textId="77777777" w:rsidTr="004800BA">
        <w:trPr>
          <w:trHeight w:val="2170"/>
        </w:trPr>
        <w:tc>
          <w:tcPr>
            <w:tcW w:w="8977" w:type="dxa"/>
          </w:tcPr>
          <w:p w14:paraId="3AE7F54B" w14:textId="77777777" w:rsidR="004D4923" w:rsidRDefault="004D4923" w:rsidP="004800BA">
            <w:pPr>
              <w:pStyle w:val="paragraph"/>
              <w:spacing w:before="0" w:beforeAutospacing="0" w:after="0" w:afterAutospacing="0"/>
              <w:textAlignment w:val="baseline"/>
              <w:rPr>
                <w:sz w:val="22"/>
                <w:szCs w:val="22"/>
              </w:rPr>
            </w:pPr>
            <w:r>
              <w:rPr>
                <w:rStyle w:val="normaltextrun"/>
                <w:b/>
                <w:bCs/>
                <w:sz w:val="20"/>
                <w:szCs w:val="20"/>
                <w:u w:val="single"/>
                <w:lang w:val="en-GB"/>
              </w:rPr>
              <w:t>Issue 1-2-1: TCI state switch indication method for PDCCH and PDSCH </w:t>
            </w:r>
            <w:r>
              <w:rPr>
                <w:rStyle w:val="eop"/>
                <w:sz w:val="20"/>
                <w:szCs w:val="20"/>
              </w:rPr>
              <w:t> </w:t>
            </w:r>
          </w:p>
          <w:p w14:paraId="6FBA15D6" w14:textId="77777777" w:rsidR="004D4923" w:rsidRDefault="004D4923" w:rsidP="004800BA">
            <w:pPr>
              <w:pStyle w:val="paragraph"/>
              <w:numPr>
                <w:ilvl w:val="0"/>
                <w:numId w:val="27"/>
              </w:numPr>
              <w:spacing w:before="0" w:beforeAutospacing="0" w:after="0" w:afterAutospacing="0"/>
              <w:ind w:left="852" w:firstLine="0"/>
              <w:textAlignment w:val="baseline"/>
              <w:rPr>
                <w:sz w:val="22"/>
                <w:szCs w:val="22"/>
              </w:rPr>
            </w:pPr>
            <w:r>
              <w:rPr>
                <w:rStyle w:val="normaltextrun"/>
                <w:sz w:val="20"/>
                <w:szCs w:val="20"/>
                <w:lang w:val="en-GB"/>
              </w:rPr>
              <w:t>PDCCH non-SFN </w:t>
            </w:r>
            <w:r>
              <w:rPr>
                <w:rStyle w:val="eop"/>
                <w:sz w:val="20"/>
                <w:szCs w:val="20"/>
              </w:rPr>
              <w:t> </w:t>
            </w:r>
          </w:p>
          <w:p w14:paraId="50E4998B" w14:textId="77777777" w:rsidR="004D4923" w:rsidRDefault="004D4923" w:rsidP="004800BA">
            <w:pPr>
              <w:pStyle w:val="paragraph"/>
              <w:numPr>
                <w:ilvl w:val="0"/>
                <w:numId w:val="28"/>
              </w:numPr>
              <w:spacing w:before="0" w:beforeAutospacing="0" w:after="0" w:afterAutospacing="0"/>
              <w:ind w:left="1572" w:firstLine="0"/>
              <w:textAlignment w:val="baseline"/>
              <w:rPr>
                <w:sz w:val="22"/>
                <w:szCs w:val="22"/>
              </w:rPr>
            </w:pPr>
            <w:r>
              <w:rPr>
                <w:rStyle w:val="normaltextrun"/>
                <w:sz w:val="20"/>
                <w:szCs w:val="20"/>
                <w:lang w:val="en-GB"/>
              </w:rPr>
              <w:t>Only single PDCCH is supported. So Single MAC CE should be used</w:t>
            </w:r>
            <w:r>
              <w:rPr>
                <w:rStyle w:val="eop"/>
                <w:sz w:val="20"/>
                <w:szCs w:val="20"/>
              </w:rPr>
              <w:t> </w:t>
            </w:r>
          </w:p>
          <w:p w14:paraId="6CE34B6D" w14:textId="77777777" w:rsidR="004D4923" w:rsidRDefault="004D4923" w:rsidP="004800BA">
            <w:pPr>
              <w:pStyle w:val="paragraph"/>
              <w:numPr>
                <w:ilvl w:val="0"/>
                <w:numId w:val="29"/>
              </w:numPr>
              <w:spacing w:before="0" w:beforeAutospacing="0" w:after="0" w:afterAutospacing="0"/>
              <w:ind w:left="852" w:firstLine="0"/>
              <w:textAlignment w:val="baseline"/>
              <w:rPr>
                <w:sz w:val="22"/>
                <w:szCs w:val="22"/>
              </w:rPr>
            </w:pPr>
            <w:r>
              <w:rPr>
                <w:rStyle w:val="normaltextrun"/>
                <w:sz w:val="20"/>
                <w:szCs w:val="20"/>
                <w:lang w:val="en-GB"/>
              </w:rPr>
              <w:t>FFS: PDCCH SFN </w:t>
            </w:r>
            <w:r>
              <w:rPr>
                <w:rStyle w:val="eop"/>
                <w:sz w:val="20"/>
                <w:szCs w:val="20"/>
              </w:rPr>
              <w:t> </w:t>
            </w:r>
          </w:p>
          <w:p w14:paraId="66D17DF2" w14:textId="77777777" w:rsidR="004D4923" w:rsidRDefault="004D4923" w:rsidP="004800BA">
            <w:pPr>
              <w:pStyle w:val="paragraph"/>
              <w:numPr>
                <w:ilvl w:val="0"/>
                <w:numId w:val="30"/>
              </w:numPr>
              <w:spacing w:before="0" w:beforeAutospacing="0" w:after="0" w:afterAutospacing="0"/>
              <w:ind w:left="1572" w:firstLine="0"/>
              <w:textAlignment w:val="baseline"/>
              <w:rPr>
                <w:sz w:val="22"/>
                <w:szCs w:val="22"/>
              </w:rPr>
            </w:pPr>
            <w:r>
              <w:rPr>
                <w:rStyle w:val="normaltextrun"/>
                <w:sz w:val="20"/>
                <w:szCs w:val="20"/>
                <w:lang w:val="en-GB"/>
              </w:rPr>
              <w:t>One MAC CE is used to indicate both TCI states </w:t>
            </w:r>
            <w:r>
              <w:rPr>
                <w:rStyle w:val="eop"/>
                <w:sz w:val="20"/>
                <w:szCs w:val="20"/>
              </w:rPr>
              <w:t> </w:t>
            </w:r>
          </w:p>
          <w:p w14:paraId="0DD995BE" w14:textId="77777777" w:rsidR="004D4923" w:rsidRDefault="004D4923" w:rsidP="004800BA">
            <w:pPr>
              <w:pStyle w:val="paragraph"/>
              <w:numPr>
                <w:ilvl w:val="0"/>
                <w:numId w:val="31"/>
              </w:numPr>
              <w:spacing w:before="0" w:beforeAutospacing="0" w:after="0" w:afterAutospacing="0"/>
              <w:ind w:left="852" w:firstLine="0"/>
              <w:textAlignment w:val="baseline"/>
              <w:rPr>
                <w:sz w:val="22"/>
                <w:szCs w:val="22"/>
              </w:rPr>
            </w:pPr>
            <w:r>
              <w:rPr>
                <w:rStyle w:val="normaltextrun"/>
                <w:sz w:val="20"/>
                <w:szCs w:val="20"/>
                <w:lang w:val="en-GB"/>
              </w:rPr>
              <w:t>PDSCH </w:t>
            </w:r>
            <w:r>
              <w:rPr>
                <w:rStyle w:val="eop"/>
                <w:sz w:val="20"/>
                <w:szCs w:val="20"/>
              </w:rPr>
              <w:t> </w:t>
            </w:r>
          </w:p>
          <w:p w14:paraId="6F5251EB" w14:textId="77777777" w:rsidR="004D4923" w:rsidRDefault="004D4923" w:rsidP="004800BA">
            <w:pPr>
              <w:pStyle w:val="paragraph"/>
              <w:numPr>
                <w:ilvl w:val="0"/>
                <w:numId w:val="32"/>
              </w:numPr>
              <w:spacing w:before="0" w:beforeAutospacing="0" w:after="0" w:afterAutospacing="0"/>
              <w:ind w:left="1572" w:firstLine="0"/>
              <w:textAlignment w:val="baseline"/>
              <w:rPr>
                <w:sz w:val="22"/>
                <w:szCs w:val="22"/>
              </w:rPr>
            </w:pPr>
            <w:r>
              <w:rPr>
                <w:rStyle w:val="normaltextrun"/>
                <w:sz w:val="20"/>
                <w:szCs w:val="20"/>
                <w:lang w:val="en-GB"/>
              </w:rPr>
              <w:t>For both SFN and non-SFN, only one DCI code point is indicated using single DCI and the code point may indicate one or two TCI states</w:t>
            </w:r>
            <w:r>
              <w:rPr>
                <w:rStyle w:val="eop"/>
                <w:sz w:val="20"/>
                <w:szCs w:val="20"/>
              </w:rPr>
              <w:t> </w:t>
            </w:r>
          </w:p>
          <w:p w14:paraId="441D918B" w14:textId="77777777" w:rsidR="004D4923" w:rsidRPr="00EC6749" w:rsidRDefault="004D4923" w:rsidP="004800BA">
            <w:pPr>
              <w:spacing w:after="120"/>
              <w:rPr>
                <w:rFonts w:eastAsia="SimSun"/>
                <w:szCs w:val="24"/>
                <w:lang w:eastAsia="zh-CN"/>
              </w:rPr>
            </w:pPr>
          </w:p>
        </w:tc>
      </w:tr>
    </w:tbl>
    <w:p w14:paraId="726E1AEE" w14:textId="77777777" w:rsidR="004D4923" w:rsidRDefault="004D4923" w:rsidP="004D4923"/>
    <w:p w14:paraId="050C20DD" w14:textId="77777777" w:rsidR="004D4923" w:rsidRPr="00364D8D" w:rsidRDefault="004D4923" w:rsidP="004D4923">
      <w:pPr>
        <w:rPr>
          <w:b/>
          <w:i/>
          <w:u w:val="single"/>
        </w:rPr>
      </w:pPr>
      <w:r w:rsidRPr="00364D8D">
        <w:rPr>
          <w:b/>
          <w:i/>
          <w:u w:val="single"/>
        </w:rPr>
        <w:t>PDCCH SFN and non-SFN</w:t>
      </w:r>
    </w:p>
    <w:p w14:paraId="11C09A1A" w14:textId="2F2F1DCB" w:rsidR="004D4923" w:rsidRDefault="004D4923" w:rsidP="004D4923">
      <w:pPr>
        <w:rPr>
          <w:rStyle w:val="eop"/>
        </w:rPr>
      </w:pPr>
      <w:r w:rsidRPr="00BC729A">
        <w:rPr>
          <w:rStyle w:val="normaltextrun"/>
        </w:rPr>
        <w:t xml:space="preserve">Since for </w:t>
      </w:r>
      <w:r>
        <w:rPr>
          <w:rStyle w:val="normaltextrun"/>
        </w:rPr>
        <w:t>PDCCH non-SFN,</w:t>
      </w:r>
      <w:r>
        <w:rPr>
          <w:rStyle w:val="eop"/>
        </w:rPr>
        <w:t xml:space="preserve"> a MAC CE is used to indicate </w:t>
      </w:r>
      <w:r w:rsidR="005A2EEC">
        <w:rPr>
          <w:rStyle w:val="eop"/>
        </w:rPr>
        <w:t xml:space="preserve">a single </w:t>
      </w:r>
      <w:r>
        <w:rPr>
          <w:rStyle w:val="eop"/>
        </w:rPr>
        <w:t xml:space="preserve">TCI state, the existing legacy requirements can be reused. </w:t>
      </w:r>
    </w:p>
    <w:p w14:paraId="5F258857" w14:textId="5F63B5FE" w:rsidR="005B6228" w:rsidRDefault="002C18B2" w:rsidP="00DB0635">
      <w:pPr>
        <w:pStyle w:val="RAN4observation0"/>
        <w:rPr>
          <w:rStyle w:val="eop"/>
        </w:rPr>
      </w:pPr>
      <w:bookmarkStart w:id="12" w:name="_Toc127557099"/>
      <w:r>
        <w:rPr>
          <w:rStyle w:val="eop"/>
        </w:rPr>
        <w:t xml:space="preserve">MAC CE based TCI switch in </w:t>
      </w:r>
      <w:proofErr w:type="spellStart"/>
      <w:r w:rsidR="008B3BFB">
        <w:rPr>
          <w:rStyle w:val="eop"/>
        </w:rPr>
        <w:t>sDCI</w:t>
      </w:r>
      <w:proofErr w:type="spellEnd"/>
      <w:r w:rsidR="00896943">
        <w:rPr>
          <w:rStyle w:val="eop"/>
        </w:rPr>
        <w:t xml:space="preserve"> </w:t>
      </w:r>
      <w:r w:rsidR="00C70F77">
        <w:rPr>
          <w:rStyle w:val="eop"/>
        </w:rPr>
        <w:t>with non-SFN PDCCH</w:t>
      </w:r>
      <w:r w:rsidR="008B3BFB">
        <w:rPr>
          <w:rStyle w:val="eop"/>
        </w:rPr>
        <w:t xml:space="preserve"> scenario involves only one target TCI state.</w:t>
      </w:r>
      <w:bookmarkEnd w:id="12"/>
      <w:r w:rsidR="008B3BFB">
        <w:rPr>
          <w:rStyle w:val="eop"/>
        </w:rPr>
        <w:t xml:space="preserve"> </w:t>
      </w:r>
    </w:p>
    <w:p w14:paraId="24E4902B" w14:textId="56CCDE86" w:rsidR="004D4923" w:rsidRDefault="005B6228" w:rsidP="0049646C">
      <w:pPr>
        <w:pStyle w:val="RAN4proposal"/>
        <w:rPr>
          <w:rStyle w:val="eop"/>
        </w:rPr>
      </w:pPr>
      <w:r>
        <w:rPr>
          <w:rStyle w:val="eop"/>
        </w:rPr>
        <w:t xml:space="preserve">  </w:t>
      </w:r>
      <w:bookmarkStart w:id="13" w:name="_Toc127557100"/>
      <w:r w:rsidR="004D4923">
        <w:rPr>
          <w:rStyle w:val="eop"/>
        </w:rPr>
        <w:t xml:space="preserve">For non-SFN based TCI indication method for PDCCH, </w:t>
      </w:r>
      <w:r w:rsidR="00114D16">
        <w:rPr>
          <w:rStyle w:val="eop"/>
        </w:rPr>
        <w:t xml:space="preserve">use </w:t>
      </w:r>
      <w:r w:rsidR="004D4923">
        <w:rPr>
          <w:rStyle w:val="eop"/>
        </w:rPr>
        <w:t xml:space="preserve">legacy </w:t>
      </w:r>
      <w:r w:rsidR="00A90693">
        <w:rPr>
          <w:rStyle w:val="eop"/>
        </w:rPr>
        <w:t xml:space="preserve">Rel-15 </w:t>
      </w:r>
      <w:r w:rsidR="004D4923">
        <w:rPr>
          <w:rStyle w:val="eop"/>
        </w:rPr>
        <w:t xml:space="preserve">TCI state switching requirements </w:t>
      </w:r>
      <w:r w:rsidR="00CD505D">
        <w:rPr>
          <w:rStyle w:val="eop"/>
        </w:rPr>
        <w:t xml:space="preserve">for </w:t>
      </w:r>
      <w:proofErr w:type="gramStart"/>
      <w:r w:rsidR="00CD505D">
        <w:rPr>
          <w:rStyle w:val="eop"/>
        </w:rPr>
        <w:t>multi Rx</w:t>
      </w:r>
      <w:proofErr w:type="gramEnd"/>
      <w:r w:rsidR="004D4923">
        <w:rPr>
          <w:rStyle w:val="eop"/>
        </w:rPr>
        <w:t>.</w:t>
      </w:r>
      <w:bookmarkEnd w:id="13"/>
    </w:p>
    <w:p w14:paraId="7D27F08C" w14:textId="71685E5F" w:rsidR="00B91A78" w:rsidRDefault="00B91A78" w:rsidP="00B91A78">
      <w:r>
        <w:t xml:space="preserve">In the case of SFN network the situation is different for </w:t>
      </w:r>
      <w:proofErr w:type="spellStart"/>
      <w:r>
        <w:t>sDCI</w:t>
      </w:r>
      <w:proofErr w:type="spellEnd"/>
      <w:r>
        <w:t xml:space="preserve"> </w:t>
      </w:r>
      <w:r w:rsidR="00B86E41">
        <w:t xml:space="preserve">scenario. In this case, the enhanced MAC CE indication is used for </w:t>
      </w:r>
      <w:r w:rsidR="003A37D6">
        <w:t xml:space="preserve">TCI state switching, and two </w:t>
      </w:r>
      <w:r w:rsidR="00346C42">
        <w:t xml:space="preserve">target </w:t>
      </w:r>
      <w:r w:rsidR="003A37D6">
        <w:t>TCI</w:t>
      </w:r>
      <w:r w:rsidR="00346C42">
        <w:t xml:space="preserve"> states can be indicated in the same command. For this reason, the only MAC CE based TCI switch command that has more impact for the </w:t>
      </w:r>
      <w:proofErr w:type="gramStart"/>
      <w:r w:rsidR="00346C42">
        <w:t>multi Rx</w:t>
      </w:r>
      <w:proofErr w:type="gramEnd"/>
      <w:r w:rsidR="00346C42">
        <w:t xml:space="preserve"> work is in the SFN scenario. </w:t>
      </w:r>
    </w:p>
    <w:p w14:paraId="63F4622E" w14:textId="014F9029" w:rsidR="00346C42" w:rsidRDefault="00346C42" w:rsidP="00346C42">
      <w:pPr>
        <w:pStyle w:val="RAN4observation0"/>
      </w:pPr>
      <w:bookmarkStart w:id="14" w:name="_Toc127557101"/>
      <w:r>
        <w:t>When PDCCH SFN is used one MAC CE is used to indicate two TCI states used for PDCCH.</w:t>
      </w:r>
      <w:bookmarkEnd w:id="14"/>
      <w:r>
        <w:t xml:space="preserve"> </w:t>
      </w:r>
    </w:p>
    <w:p w14:paraId="00F8EED5" w14:textId="105AF442" w:rsidR="00346C42" w:rsidRPr="00DB0635" w:rsidRDefault="00077E87" w:rsidP="00077E87">
      <w:pPr>
        <w:pStyle w:val="RAN4proposal"/>
      </w:pPr>
      <w:bookmarkStart w:id="15" w:name="_Toc127557102"/>
      <w:r>
        <w:t xml:space="preserve">RAN4 to discuss if </w:t>
      </w:r>
      <w:r w:rsidR="007C1DAC">
        <w:t xml:space="preserve">MAC CE based switching </w:t>
      </w:r>
      <w:r w:rsidR="00E914BC">
        <w:t xml:space="preserve">requirements for </w:t>
      </w:r>
      <w:r>
        <w:t xml:space="preserve">PDCCH SFN </w:t>
      </w:r>
      <w:r w:rsidR="000178EB">
        <w:t xml:space="preserve">are to be </w:t>
      </w:r>
      <w:r w:rsidR="00686CB2">
        <w:t xml:space="preserve">defined for </w:t>
      </w:r>
      <w:proofErr w:type="spellStart"/>
      <w:r w:rsidR="00686CB2">
        <w:t>multiRx</w:t>
      </w:r>
      <w:proofErr w:type="spellEnd"/>
      <w:r w:rsidR="00686CB2">
        <w:t>.</w:t>
      </w:r>
      <w:bookmarkEnd w:id="15"/>
      <w:r w:rsidR="00686CB2">
        <w:t xml:space="preserve"> </w:t>
      </w:r>
    </w:p>
    <w:p w14:paraId="6F7B885A" w14:textId="69B68F9B" w:rsidR="004D4923" w:rsidRPr="00364D8D" w:rsidRDefault="004D4923" w:rsidP="004D4923">
      <w:pPr>
        <w:rPr>
          <w:b/>
          <w:i/>
          <w:u w:val="single"/>
        </w:rPr>
      </w:pPr>
      <w:r w:rsidRPr="00364D8D">
        <w:rPr>
          <w:b/>
          <w:i/>
          <w:u w:val="single"/>
        </w:rPr>
        <w:t xml:space="preserve">PDSCH </w:t>
      </w:r>
    </w:p>
    <w:p w14:paraId="712AD084" w14:textId="2D7B39DC" w:rsidR="004D4923" w:rsidRPr="004C08C6" w:rsidRDefault="004D4923" w:rsidP="004D4923">
      <w:pPr>
        <w:rPr>
          <w:rStyle w:val="eop"/>
        </w:rPr>
      </w:pPr>
      <w:r>
        <w:rPr>
          <w:rStyle w:val="eop"/>
        </w:rPr>
        <w:t xml:space="preserve">Similarly, since in case of PDSCH a single </w:t>
      </w:r>
      <w:r w:rsidRPr="004C08C6">
        <w:rPr>
          <w:rStyle w:val="eop"/>
        </w:rPr>
        <w:t>DCI is used to indicate the target TCI states, when one of the target TCI states to switch to is known, then the legacy requirements of known TCI state can apply.</w:t>
      </w:r>
      <w:r w:rsidR="00C779F2">
        <w:rPr>
          <w:rStyle w:val="eop"/>
        </w:rPr>
        <w:t xml:space="preserve"> Additionally, RAN1 already clearly specified that TCI switching is related to</w:t>
      </w:r>
      <w:r w:rsidR="00E27D9C">
        <w:rPr>
          <w:rStyle w:val="eop"/>
        </w:rPr>
        <w:t xml:space="preserve"> </w:t>
      </w:r>
      <w:r w:rsidR="00C779F2">
        <w:rPr>
          <w:rStyle w:val="eop"/>
        </w:rPr>
        <w:t>th</w:t>
      </w:r>
      <w:r w:rsidR="00E27D9C">
        <w:rPr>
          <w:rStyle w:val="eop"/>
        </w:rPr>
        <w:t xml:space="preserve">e </w:t>
      </w:r>
      <w:proofErr w:type="spellStart"/>
      <w:r w:rsidR="00E27D9C">
        <w:t>timeDurationForQCL</w:t>
      </w:r>
      <w:proofErr w:type="spellEnd"/>
      <w:r w:rsidR="00293B1B">
        <w:t xml:space="preserve">, which means that both TCI states should be ready for receiving PDSCH </w:t>
      </w:r>
      <w:r w:rsidR="000F6E36">
        <w:t xml:space="preserve">after </w:t>
      </w:r>
      <w:proofErr w:type="spellStart"/>
      <w:r w:rsidR="000F6E36">
        <w:t>timeDurationForQCL</w:t>
      </w:r>
      <w:proofErr w:type="spellEnd"/>
      <w:r w:rsidR="000F6E36">
        <w:t xml:space="preserve">. </w:t>
      </w:r>
    </w:p>
    <w:p w14:paraId="128E407B" w14:textId="4C80B8E4" w:rsidR="004D4923" w:rsidRPr="00FE3550" w:rsidRDefault="004D4923" w:rsidP="004D4923">
      <w:pPr>
        <w:pStyle w:val="RAN4proposal"/>
      </w:pPr>
      <w:r w:rsidRPr="008839D4">
        <w:t xml:space="preserve"> </w:t>
      </w:r>
      <w:bookmarkStart w:id="16" w:name="_Toc127557103"/>
      <w:r w:rsidR="00F72DE0">
        <w:t>RAN4 to reuse Rel-16 requirements for t</w:t>
      </w:r>
      <w:r w:rsidR="006F2B7C">
        <w:t xml:space="preserve">he </w:t>
      </w:r>
      <w:r w:rsidRPr="00FE3550">
        <w:t xml:space="preserve">case of </w:t>
      </w:r>
      <w:r w:rsidR="00425A6E">
        <w:t>DCI-based TCI switchin</w:t>
      </w:r>
      <w:r w:rsidR="004B7B86">
        <w:t xml:space="preserve">g for </w:t>
      </w:r>
      <w:r w:rsidRPr="00FE3550">
        <w:t>PDSCH</w:t>
      </w:r>
      <w:r w:rsidR="00705252">
        <w:t xml:space="preserve"> in single DCI scenario</w:t>
      </w:r>
      <w:r w:rsidRPr="00FE3550">
        <w:t>.</w:t>
      </w:r>
      <w:bookmarkEnd w:id="16"/>
    </w:p>
    <w:p w14:paraId="764C7124" w14:textId="77777777" w:rsidR="004D4923" w:rsidRDefault="004D4923" w:rsidP="004D4923">
      <w:pPr>
        <w:rPr>
          <w:rStyle w:val="eop"/>
        </w:rPr>
      </w:pPr>
      <w:r w:rsidRPr="004C08C6">
        <w:rPr>
          <w:rStyle w:val="eop"/>
        </w:rPr>
        <w:t>s-DCI based operation which</w:t>
      </w:r>
      <w:r>
        <w:rPr>
          <w:rStyle w:val="eop"/>
        </w:rPr>
        <w:t xml:space="preserve"> are suitable for ideal backhaul deployments require as minimal delays as possible to ensure seamless operation of this functionality. The existing switching delays as well as known conditions for target TCI states were defined keeping in mind a single TRP deployment. It is worth studying if these requirements for the target TCI states can be revisited in case of single DCI based multi-TRP deployment.</w:t>
      </w:r>
    </w:p>
    <w:p w14:paraId="4D47599B" w14:textId="77777777" w:rsidR="004D4923" w:rsidRDefault="004D4923" w:rsidP="004D4923">
      <w:pPr>
        <w:pStyle w:val="RAN4observation0"/>
        <w:rPr>
          <w:rStyle w:val="eop"/>
        </w:rPr>
      </w:pPr>
      <w:bookmarkStart w:id="17" w:name="_Toc127557104"/>
      <w:r w:rsidRPr="001A512B">
        <w:rPr>
          <w:rStyle w:val="eop"/>
          <w:bCs/>
        </w:rPr>
        <w:t>The existing switching delays as well as known conditions for target TCI states were defined keeping in mind a single TRP deployment</w:t>
      </w:r>
      <w:r>
        <w:rPr>
          <w:rStyle w:val="eop"/>
          <w:bCs/>
        </w:rPr>
        <w:t xml:space="preserve"> where the concept of s-DCI and m-DCI based operations didn’t exist. s-DCI based multi-TRP operations are suitable for ideal backhaul and this kind of operation is susceptible to delays.</w:t>
      </w:r>
      <w:bookmarkEnd w:id="17"/>
    </w:p>
    <w:p w14:paraId="4E3924BB" w14:textId="4EDAB150" w:rsidR="004F1FC2" w:rsidRDefault="00465BFF" w:rsidP="0021300D">
      <w:pPr>
        <w:pStyle w:val="RAN4proposal"/>
      </w:pPr>
      <w:bookmarkStart w:id="18" w:name="_Toc127557105"/>
      <w:r>
        <w:t>F</w:t>
      </w:r>
      <w:r w:rsidR="004D4923" w:rsidRPr="00FE3550">
        <w:t xml:space="preserve">urther study if the </w:t>
      </w:r>
      <w:r w:rsidR="004D4923" w:rsidRPr="00FF3175">
        <w:t>existing</w:t>
      </w:r>
      <w:r w:rsidR="004D4923" w:rsidRPr="00FE3550">
        <w:t xml:space="preserve"> requirements for target TCI state switching delays as well as known conditions can be tailored to suit s-DCI based m-TRP network deployments.</w:t>
      </w:r>
      <w:bookmarkEnd w:id="18"/>
    </w:p>
    <w:p w14:paraId="39CA96C5" w14:textId="77777777" w:rsidR="004D4923" w:rsidRPr="00006CD8" w:rsidRDefault="004D4923" w:rsidP="0021300D">
      <w:pPr>
        <w:pStyle w:val="RAN4proposal"/>
        <w:numPr>
          <w:ilvl w:val="0"/>
          <w:numId w:val="0"/>
        </w:numPr>
      </w:pPr>
      <w:bookmarkStart w:id="19" w:name="_Toc127540208"/>
      <w:bookmarkStart w:id="20" w:name="_Toc127540287"/>
      <w:bookmarkEnd w:id="19"/>
      <w:bookmarkEnd w:id="20"/>
    </w:p>
    <w:p w14:paraId="2C06E6A0" w14:textId="0A4E706E" w:rsidR="004D4923" w:rsidRPr="009E6EA5" w:rsidRDefault="004D4923" w:rsidP="009E6EA5">
      <w:pPr>
        <w:pStyle w:val="RAN4H2"/>
      </w:pPr>
      <w:r w:rsidRPr="00C53085">
        <w:t>Multi</w:t>
      </w:r>
      <w:r w:rsidRPr="009E6EA5">
        <w:t>-DCI based TCI state switching</w:t>
      </w:r>
    </w:p>
    <w:p w14:paraId="2D1B0C15" w14:textId="68E96318" w:rsidR="004D4923" w:rsidRDefault="004D4923" w:rsidP="009E6EA5">
      <w:r>
        <w:t xml:space="preserve">In case of multiple DCI base TCI state switching, the UE is expected to receive </w:t>
      </w:r>
      <w:r w:rsidR="007A6F75">
        <w:t>D</w:t>
      </w:r>
      <w:r>
        <w:t xml:space="preserve">CI </w:t>
      </w:r>
      <w:r w:rsidR="007A6F75">
        <w:t xml:space="preserve">commands </w:t>
      </w:r>
      <w:r>
        <w:t>for each PDSCH independently</w:t>
      </w:r>
      <w:r w:rsidR="007A6F75">
        <w:t xml:space="preserve">, and therefore will have 2 TCI states indicated for PDCCH and 2 TCI states indicated for PDSCH as in </w:t>
      </w:r>
      <w:r w:rsidR="007A6F75">
        <w:fldChar w:fldCharType="begin"/>
      </w:r>
      <w:r w:rsidR="007A6F75">
        <w:instrText xml:space="preserve"> REF _Ref127526139 \h </w:instrText>
      </w:r>
      <w:r w:rsidR="007A6F75">
        <w:fldChar w:fldCharType="separate"/>
      </w:r>
      <w:r w:rsidR="007A6F75" w:rsidRPr="001F7050">
        <w:rPr>
          <w:bCs/>
        </w:rPr>
        <w:t xml:space="preserve">Figure </w:t>
      </w:r>
      <w:r w:rsidR="007A6F75">
        <w:rPr>
          <w:bCs/>
          <w:noProof/>
        </w:rPr>
        <w:t>4</w:t>
      </w:r>
      <w:r w:rsidR="007A6F75">
        <w:fldChar w:fldCharType="end"/>
      </w:r>
      <w:r>
        <w:t xml:space="preserve">. </w:t>
      </w:r>
    </w:p>
    <w:p w14:paraId="2817F9B5" w14:textId="5371CEAB" w:rsidR="00F11E82" w:rsidRDefault="00F11E82" w:rsidP="00E25737">
      <w:pPr>
        <w:jc w:val="center"/>
      </w:pPr>
      <w:r w:rsidRPr="00F11E82">
        <w:rPr>
          <w:noProof/>
        </w:rPr>
        <w:drawing>
          <wp:inline distT="0" distB="0" distL="0" distR="0" wp14:anchorId="3E3C9721" wp14:editId="6D639C80">
            <wp:extent cx="2133600" cy="1060450"/>
            <wp:effectExtent l="19050" t="19050" r="19050" b="254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33600" cy="1060450"/>
                    </a:xfrm>
                    <a:prstGeom prst="rect">
                      <a:avLst/>
                    </a:prstGeom>
                    <a:noFill/>
                    <a:ln w="0">
                      <a:solidFill>
                        <a:schemeClr val="tx1"/>
                      </a:solidFill>
                    </a:ln>
                  </pic:spPr>
                </pic:pic>
              </a:graphicData>
            </a:graphic>
          </wp:inline>
        </w:drawing>
      </w:r>
    </w:p>
    <w:p w14:paraId="01AB5793" w14:textId="34723592" w:rsidR="004D4923" w:rsidRDefault="004D4923" w:rsidP="004D4923">
      <w:pPr>
        <w:spacing w:after="0"/>
        <w:jc w:val="center"/>
      </w:pPr>
    </w:p>
    <w:p w14:paraId="254B62FE" w14:textId="689AD6F7" w:rsidR="004D4923" w:rsidRDefault="004D4923" w:rsidP="004D4923">
      <w:pPr>
        <w:pStyle w:val="Caption"/>
        <w:spacing w:after="0"/>
        <w:ind w:left="3408" w:firstLine="284"/>
        <w:jc w:val="left"/>
        <w:rPr>
          <w:b/>
          <w:bCs/>
        </w:rPr>
      </w:pPr>
      <w:bookmarkStart w:id="21" w:name="_Ref127526139"/>
      <w:r w:rsidRPr="001F7050">
        <w:rPr>
          <w:bCs/>
        </w:rPr>
        <w:t xml:space="preserve">Figure </w:t>
      </w:r>
      <w:r>
        <w:fldChar w:fldCharType="begin"/>
      </w:r>
      <w:r w:rsidRPr="001F7050">
        <w:rPr>
          <w:bCs/>
        </w:rPr>
        <w:instrText xml:space="preserve"> SEQ Figure \* ARABIC </w:instrText>
      </w:r>
      <w:r>
        <w:fldChar w:fldCharType="separate"/>
      </w:r>
      <w:r w:rsidR="008E5B14">
        <w:rPr>
          <w:bCs/>
          <w:noProof/>
        </w:rPr>
        <w:t>4</w:t>
      </w:r>
      <w:r>
        <w:fldChar w:fldCharType="end"/>
      </w:r>
      <w:bookmarkEnd w:id="21"/>
      <w:r w:rsidRPr="001F7050">
        <w:rPr>
          <w:bCs/>
        </w:rPr>
        <w:t xml:space="preserve">: m-DCI </w:t>
      </w:r>
      <w:r w:rsidRPr="001F7050">
        <w:rPr>
          <w:bCs/>
        </w:rPr>
        <w:tab/>
      </w:r>
    </w:p>
    <w:p w14:paraId="582173C7" w14:textId="77777777" w:rsidR="004D4923" w:rsidRDefault="004D4923" w:rsidP="004D4923"/>
    <w:p w14:paraId="16639168" w14:textId="5A83F21D" w:rsidR="004D4923" w:rsidRDefault="00844685" w:rsidP="00DB0635">
      <w:r>
        <w:t xml:space="preserve">If we analyze that scenario, one important TCI switching case is when </w:t>
      </w:r>
      <w:r w:rsidR="00782DD2">
        <w:t xml:space="preserve">DCI </w:t>
      </w:r>
      <w:r w:rsidR="00B0703E">
        <w:t xml:space="preserve">based TCI switching delay is considered. </w:t>
      </w:r>
      <w:r w:rsidR="004D4923">
        <w:t xml:space="preserve">This could have two </w:t>
      </w:r>
      <w:r w:rsidR="00B0703E">
        <w:t xml:space="preserve">possible </w:t>
      </w:r>
      <w:r w:rsidR="004D4923">
        <w:t xml:space="preserve">scenarios as illustrated in figure </w:t>
      </w:r>
      <w:r w:rsidR="00E42C56">
        <w:t>5</w:t>
      </w:r>
      <w:r w:rsidR="004D4923">
        <w:t xml:space="preserve">a and figure </w:t>
      </w:r>
      <w:r w:rsidR="00E42C56">
        <w:t>5</w:t>
      </w:r>
      <w:r w:rsidR="004D4923">
        <w:t>b</w:t>
      </w:r>
      <w:r w:rsidR="00B0703E">
        <w:t xml:space="preserve"> which depend on the timing of one DCI in relation to</w:t>
      </w:r>
      <w:r w:rsidR="00223711">
        <w:t xml:space="preserve"> </w:t>
      </w:r>
      <w:r w:rsidR="00B0703E">
        <w:t>th</w:t>
      </w:r>
      <w:r w:rsidR="00223711">
        <w:t>e</w:t>
      </w:r>
      <w:r w:rsidR="00B0703E">
        <w:t xml:space="preserve"> other</w:t>
      </w:r>
      <w:r w:rsidR="004D4923">
        <w:t>.</w:t>
      </w:r>
    </w:p>
    <w:p w14:paraId="04CDFCC8" w14:textId="66A44B1B" w:rsidR="004D4923" w:rsidRDefault="00F2598E" w:rsidP="004D4923">
      <w:r w:rsidRPr="00F2598E">
        <w:rPr>
          <w:noProof/>
        </w:rPr>
        <w:drawing>
          <wp:inline distT="0" distB="0" distL="0" distR="0" wp14:anchorId="3DAF77A7" wp14:editId="2D2EEE5B">
            <wp:extent cx="3232150" cy="1218511"/>
            <wp:effectExtent l="19050" t="19050" r="25400" b="203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2719" cy="1230035"/>
                    </a:xfrm>
                    <a:prstGeom prst="rect">
                      <a:avLst/>
                    </a:prstGeom>
                    <a:noFill/>
                    <a:ln w="0">
                      <a:solidFill>
                        <a:schemeClr val="tx1"/>
                      </a:solidFill>
                    </a:ln>
                  </pic:spPr>
                </pic:pic>
              </a:graphicData>
            </a:graphic>
          </wp:inline>
        </w:drawing>
      </w:r>
      <w:r w:rsidR="004D4923">
        <w:t xml:space="preserve"> </w:t>
      </w:r>
      <w:r w:rsidR="004D4923" w:rsidRPr="002E1FD0">
        <w:t xml:space="preserve"> </w:t>
      </w:r>
      <w:r w:rsidR="00C61A7F" w:rsidRPr="00C61A7F">
        <w:rPr>
          <w:noProof/>
        </w:rPr>
        <w:drawing>
          <wp:inline distT="0" distB="0" distL="0" distR="0" wp14:anchorId="5D2CA5B9" wp14:editId="6E9B2FFA">
            <wp:extent cx="2711450" cy="1269753"/>
            <wp:effectExtent l="19050" t="19050" r="12700" b="260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4637" cy="1280611"/>
                    </a:xfrm>
                    <a:prstGeom prst="rect">
                      <a:avLst/>
                    </a:prstGeom>
                    <a:noFill/>
                    <a:ln w="6350">
                      <a:solidFill>
                        <a:schemeClr val="tx1"/>
                      </a:solidFill>
                    </a:ln>
                  </pic:spPr>
                </pic:pic>
              </a:graphicData>
            </a:graphic>
          </wp:inline>
        </w:drawing>
      </w:r>
    </w:p>
    <w:p w14:paraId="6D672865" w14:textId="34C2B3AA" w:rsidR="004D4923" w:rsidRDefault="004D4923" w:rsidP="004D4923">
      <w:pPr>
        <w:pStyle w:val="Caption"/>
      </w:pPr>
      <w:r>
        <w:t xml:space="preserve">Figure </w:t>
      </w:r>
      <w:r w:rsidR="00E42C56">
        <w:t>5</w:t>
      </w:r>
      <w:r>
        <w:t>a</w:t>
      </w:r>
      <w:r>
        <w:tab/>
      </w:r>
      <w:r>
        <w:tab/>
      </w:r>
      <w:r>
        <w:tab/>
      </w:r>
      <w:r>
        <w:tab/>
      </w:r>
      <w:r>
        <w:tab/>
        <w:t xml:space="preserve">Figure </w:t>
      </w:r>
      <w:r w:rsidR="00E42C56">
        <w:t>5</w:t>
      </w:r>
      <w:r>
        <w:t>b</w:t>
      </w:r>
    </w:p>
    <w:p w14:paraId="29859D2F" w14:textId="0A0CD3C8" w:rsidR="004D4923" w:rsidRPr="00BB2975" w:rsidRDefault="004D4923" w:rsidP="009E6EA5">
      <w:r>
        <w:t xml:space="preserve">In scenario </w:t>
      </w:r>
      <w:r w:rsidR="00E42C56" w:rsidRPr="00BB2975">
        <w:t>5</w:t>
      </w:r>
      <w:r w:rsidRPr="00BB2975">
        <w:t xml:space="preserve">a, </w:t>
      </w:r>
      <w:r w:rsidR="00EA604F">
        <w:t xml:space="preserve">the DCI command is received from each TRP with a time difference larger than </w:t>
      </w:r>
      <w:proofErr w:type="spellStart"/>
      <w:r w:rsidR="00EA604F">
        <w:t>timerDurationForQCL</w:t>
      </w:r>
      <w:proofErr w:type="spellEnd"/>
      <w:r w:rsidR="00D93A18">
        <w:t xml:space="preserve">. Therefore, the </w:t>
      </w:r>
      <w:r w:rsidR="00EA4381">
        <w:t xml:space="preserve">DCI based TCI switch for each TRP </w:t>
      </w:r>
      <w:r w:rsidR="008809A4">
        <w:t>do not overlap</w:t>
      </w:r>
      <w:r w:rsidRPr="00BB2975">
        <w:t xml:space="preserve">, </w:t>
      </w:r>
      <w:r w:rsidR="008809A4">
        <w:t xml:space="preserve">so </w:t>
      </w:r>
      <w:r w:rsidRPr="00BB2975">
        <w:t xml:space="preserve">the existing DCI based TCI switching requirements can be reused since each of these TCI state switch can be evaluated by the </w:t>
      </w:r>
      <w:proofErr w:type="gramStart"/>
      <w:r w:rsidRPr="00BB2975">
        <w:t>Multi-Rx UE</w:t>
      </w:r>
      <w:proofErr w:type="gramEnd"/>
      <w:r w:rsidRPr="00BB2975">
        <w:t xml:space="preserve"> independently.</w:t>
      </w:r>
    </w:p>
    <w:p w14:paraId="05EBDC89" w14:textId="77777777" w:rsidR="004D4923" w:rsidRPr="00492BC6" w:rsidRDefault="004D4923" w:rsidP="009E6EA5">
      <w:pPr>
        <w:pStyle w:val="RAN4proposal"/>
      </w:pPr>
      <w:r w:rsidRPr="00BB2975">
        <w:t xml:space="preserve"> </w:t>
      </w:r>
      <w:bookmarkStart w:id="22" w:name="_Toc127557106"/>
      <w:r w:rsidRPr="00BB2975">
        <w:t>For a UE operating in multi-DCI mode, TCI state switching applies per Rx chain independently, and thus TCI state switching delay requirements for single TRP mode can be reused per DCI</w:t>
      </w:r>
      <w:r w:rsidRPr="00492BC6">
        <w:t>.</w:t>
      </w:r>
      <w:bookmarkEnd w:id="22"/>
    </w:p>
    <w:p w14:paraId="447819AF" w14:textId="176D8810" w:rsidR="004D4923" w:rsidRDefault="004D4923" w:rsidP="009E6EA5">
      <w:r w:rsidRPr="00876AB4">
        <w:t xml:space="preserve">The current DCI-based TCI state switching requirements have been defined assuming that the UE will at any point in time receive a single DCI indicating a target TCI state for the PDSCH. However, in case of multi-DCI, </w:t>
      </w:r>
      <w:r w:rsidR="005F7180" w:rsidRPr="00876AB4">
        <w:t xml:space="preserve">there could be a scenario where </w:t>
      </w:r>
      <w:r w:rsidR="008E2DD8">
        <w:t xml:space="preserve">DCI based TCI state switch may occur for one TRP while the TCI state switch </w:t>
      </w:r>
      <w:r w:rsidR="00EB6A7A">
        <w:t xml:space="preserve">based on DCI from the other TRP is being processed </w:t>
      </w:r>
      <w:proofErr w:type="gramStart"/>
      <w:r w:rsidR="00EB6A7A">
        <w:t>i.e.</w:t>
      </w:r>
      <w:proofErr w:type="gramEnd"/>
      <w:r w:rsidR="00EB6A7A">
        <w:t xml:space="preserve"> </w:t>
      </w:r>
      <w:r w:rsidR="0066323F">
        <w:t>TCI state for both TRPs is switched simultaneously (Figure 5b)</w:t>
      </w:r>
      <w:r w:rsidR="00EB6A7A">
        <w:t>. The following is</w:t>
      </w:r>
      <w:r w:rsidR="00EB6A7A" w:rsidRPr="00876AB4">
        <w:t xml:space="preserve"> </w:t>
      </w:r>
      <w:r w:rsidRPr="00876AB4">
        <w:t>stated in TS 38.214</w:t>
      </w:r>
      <w:r w:rsidR="00EB6A7A">
        <w:t xml:space="preserve"> about this scenario:</w:t>
      </w:r>
      <w:r w:rsidRPr="00876AB4">
        <w:t xml:space="preserve"> ‘</w:t>
      </w:r>
      <w:r w:rsidRPr="000F25A6">
        <w:rPr>
          <w:i/>
        </w:rPr>
        <w:t>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w:t>
      </w:r>
      <w:r w:rsidRPr="00876AB4">
        <w:t>’.</w:t>
      </w:r>
    </w:p>
    <w:p w14:paraId="4E7E24F7" w14:textId="512705D8" w:rsidR="004D4923" w:rsidRDefault="004D4923" w:rsidP="009E6EA5">
      <w:r>
        <w:t xml:space="preserve">This then needs to be accordingly reflected in the </w:t>
      </w:r>
      <w:r w:rsidRPr="00876AB4">
        <w:t>DCI based TCI state switch</w:t>
      </w:r>
      <w:r>
        <w:t xml:space="preserve"> delay requirements</w:t>
      </w:r>
      <w:r w:rsidRPr="00876AB4">
        <w:t>.</w:t>
      </w:r>
      <w:r>
        <w:t xml:space="preserve"> </w:t>
      </w:r>
    </w:p>
    <w:p w14:paraId="585D0221" w14:textId="568C4E6E" w:rsidR="004D4923" w:rsidRDefault="004D4923" w:rsidP="00BB2975">
      <w:pPr>
        <w:ind w:left="1440"/>
        <w:jc w:val="center"/>
      </w:pPr>
    </w:p>
    <w:p w14:paraId="0F06B9F3" w14:textId="252F06DA" w:rsidR="00D326C2" w:rsidRDefault="00D326C2" w:rsidP="00BB2975">
      <w:pPr>
        <w:ind w:left="1440"/>
        <w:jc w:val="center"/>
      </w:pPr>
      <w:r w:rsidRPr="00D326C2">
        <w:drawing>
          <wp:inline distT="0" distB="0" distL="0" distR="0" wp14:anchorId="25169BEE" wp14:editId="0389BFB6">
            <wp:extent cx="4381907" cy="2050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2494" cy="2064647"/>
                    </a:xfrm>
                    <a:prstGeom prst="rect">
                      <a:avLst/>
                    </a:prstGeom>
                    <a:noFill/>
                    <a:ln>
                      <a:noFill/>
                    </a:ln>
                  </pic:spPr>
                </pic:pic>
              </a:graphicData>
            </a:graphic>
          </wp:inline>
        </w:drawing>
      </w:r>
    </w:p>
    <w:p w14:paraId="78EF4043" w14:textId="5FA9BD55" w:rsidR="004D4923" w:rsidRPr="00492BC6" w:rsidRDefault="004D4923" w:rsidP="00D326C2">
      <w:pPr>
        <w:ind w:firstLine="720"/>
        <w:jc w:val="center"/>
        <w:rPr>
          <w:highlight w:val="yellow"/>
        </w:rPr>
      </w:pPr>
      <w:r>
        <w:t xml:space="preserve">Figure </w:t>
      </w:r>
      <w:fldSimple w:instr=" SEQ Figure \* ARABIC ">
        <w:r w:rsidR="008E5B14">
          <w:rPr>
            <w:noProof/>
          </w:rPr>
          <w:t>5</w:t>
        </w:r>
      </w:fldSimple>
      <w:r>
        <w:t xml:space="preserve">: </w:t>
      </w:r>
      <w:r w:rsidR="008F4F1D">
        <w:t xml:space="preserve">DCI-based TCI state switching </w:t>
      </w:r>
      <w:r w:rsidR="00505732">
        <w:t xml:space="preserve">when time between DCIs is smaller than </w:t>
      </w:r>
      <w:proofErr w:type="spellStart"/>
      <w:r w:rsidR="00505732">
        <w:t>timerDurationForQCL</w:t>
      </w:r>
      <w:proofErr w:type="spellEnd"/>
    </w:p>
    <w:p w14:paraId="60AF2E48" w14:textId="0D9C2201" w:rsidR="00AB041D" w:rsidRDefault="00AB041D" w:rsidP="00FD67C5">
      <w:pPr>
        <w:pStyle w:val="RAN4observation0"/>
      </w:pPr>
      <w:bookmarkStart w:id="23" w:name="_Toc127557107"/>
      <w:r>
        <w:t xml:space="preserve">In case 2 DCIs from different TRPs are received </w:t>
      </w:r>
      <w:r w:rsidR="00AD7C6B">
        <w:t xml:space="preserve">with a time distance smaller than </w:t>
      </w:r>
      <w:proofErr w:type="spellStart"/>
      <w:r w:rsidR="00AD7C6B">
        <w:t>timerDurationForQCL</w:t>
      </w:r>
      <w:proofErr w:type="spellEnd"/>
      <w:r w:rsidR="00AD7C6B">
        <w:t xml:space="preserve">, RAN1 requirements </w:t>
      </w:r>
      <w:r w:rsidR="006F19DB">
        <w:t>state that</w:t>
      </w:r>
      <w:r w:rsidR="00146E28">
        <w:t xml:space="preserve"> the UE can receive PDSCH on both TCI states </w:t>
      </w:r>
      <w:r w:rsidR="00C92CB6">
        <w:t xml:space="preserve">when </w:t>
      </w:r>
      <w:proofErr w:type="spellStart"/>
      <w:r w:rsidR="00D67A1C">
        <w:t>timerDurationForQCL</w:t>
      </w:r>
      <w:proofErr w:type="spellEnd"/>
      <w:r w:rsidR="00D67A1C">
        <w:t xml:space="preserve"> has passed for both states.</w:t>
      </w:r>
      <w:bookmarkEnd w:id="23"/>
      <w:r w:rsidR="00D67A1C">
        <w:t xml:space="preserve"> </w:t>
      </w:r>
    </w:p>
    <w:p w14:paraId="4570E765" w14:textId="53AF3346" w:rsidR="00D67A1C" w:rsidRPr="00FD67C5" w:rsidRDefault="00D67A1C" w:rsidP="001216A9">
      <w:pPr>
        <w:pStyle w:val="RAN4proposal"/>
      </w:pPr>
      <w:bookmarkStart w:id="24" w:name="_Toc127557108"/>
      <w:r>
        <w:t xml:space="preserve">In </w:t>
      </w:r>
      <w:proofErr w:type="spellStart"/>
      <w:r>
        <w:t>mDCI</w:t>
      </w:r>
      <w:proofErr w:type="spellEnd"/>
      <w:r>
        <w:t xml:space="preserve"> scenario, if DCI based TCI switch command from one TRP is received at n1, DCI state </w:t>
      </w:r>
      <w:r w:rsidR="00DA5434">
        <w:t xml:space="preserve">from other TRP is received at n2, </w:t>
      </w:r>
      <w:r w:rsidR="00297301">
        <w:t xml:space="preserve">and </w:t>
      </w:r>
      <w:r w:rsidR="00B4542D">
        <w:t xml:space="preserve">|n1-n2| &lt; </w:t>
      </w:r>
      <w:proofErr w:type="spellStart"/>
      <w:r w:rsidR="00B4542D">
        <w:t>timeDurationForQCL</w:t>
      </w:r>
      <w:proofErr w:type="spellEnd"/>
      <w:r w:rsidR="00B4542D">
        <w:t xml:space="preserve"> </w:t>
      </w:r>
      <w:r w:rsidR="000F4099">
        <w:t>the UE sh</w:t>
      </w:r>
      <w:r w:rsidR="002F21A9">
        <w:t xml:space="preserve">all be able to receive PDSCH </w:t>
      </w:r>
      <w:r w:rsidR="006C1676">
        <w:t>after slot max(n</w:t>
      </w:r>
      <w:proofErr w:type="gramStart"/>
      <w:r w:rsidR="006C1676">
        <w:t>1,n</w:t>
      </w:r>
      <w:proofErr w:type="gramEnd"/>
      <w:r w:rsidR="006C1676">
        <w:t>2)+</w:t>
      </w:r>
      <w:proofErr w:type="spellStart"/>
      <w:r w:rsidR="006C1676">
        <w:t>timeDurationForQCL</w:t>
      </w:r>
      <w:proofErr w:type="spellEnd"/>
      <w:r w:rsidR="006C1676">
        <w:t>.</w:t>
      </w:r>
      <w:bookmarkEnd w:id="24"/>
    </w:p>
    <w:p w14:paraId="1D40C17E" w14:textId="305821D1" w:rsidR="00C81578" w:rsidRDefault="00636D5A" w:rsidP="00C81578">
      <w:r>
        <w:t xml:space="preserve">Additionally, as can be noted from </w:t>
      </w:r>
      <w:r w:rsidR="00134ADE">
        <w:fldChar w:fldCharType="begin"/>
      </w:r>
      <w:r w:rsidR="00134ADE">
        <w:instrText xml:space="preserve"> REF _Ref127526741 \h </w:instrText>
      </w:r>
      <w:r w:rsidR="00134ADE">
        <w:fldChar w:fldCharType="separate"/>
      </w:r>
      <w:r w:rsidR="00134ADE">
        <w:t xml:space="preserve">Figure </w:t>
      </w:r>
      <w:r w:rsidR="00134ADE">
        <w:rPr>
          <w:noProof/>
        </w:rPr>
        <w:t>3</w:t>
      </w:r>
      <w:r w:rsidR="00134ADE">
        <w:fldChar w:fldCharType="end"/>
      </w:r>
      <w:r w:rsidR="00134ADE">
        <w:t xml:space="preserve">, </w:t>
      </w:r>
      <w:proofErr w:type="spellStart"/>
      <w:r w:rsidR="00134ADE">
        <w:t>mDCI</w:t>
      </w:r>
      <w:proofErr w:type="spellEnd"/>
      <w:r w:rsidR="00134ADE">
        <w:t xml:space="preserve"> scenario has some particularities regarding </w:t>
      </w:r>
      <w:r w:rsidR="00955AD0">
        <w:t xml:space="preserve">PDCCH state indication. The initial setup of </w:t>
      </w:r>
      <w:proofErr w:type="gramStart"/>
      <w:r w:rsidR="00955AD0">
        <w:t>multi DCI</w:t>
      </w:r>
      <w:proofErr w:type="gramEnd"/>
      <w:r w:rsidR="00955AD0">
        <w:t xml:space="preserve">, i.e. when the second PDCCH is indicated, is only performed using RRC signaling in Rel-16. </w:t>
      </w:r>
      <w:r w:rsidR="003624CB">
        <w:t xml:space="preserve">After the initial setup of the second TCI state, </w:t>
      </w:r>
      <w:proofErr w:type="gramStart"/>
      <w:r w:rsidR="003624CB">
        <w:t>all of</w:t>
      </w:r>
      <w:proofErr w:type="gramEnd"/>
      <w:r w:rsidR="003624CB">
        <w:t xml:space="preserve"> the MAC CE commands indicating new TCI state for PDCCH are done independently for each TRP. </w:t>
      </w:r>
      <w:r w:rsidR="00955AD0">
        <w:t xml:space="preserve">For this reason, </w:t>
      </w:r>
      <w:r w:rsidR="003624CB">
        <w:t xml:space="preserve">MAC CE requirements have little or no impact on the behavior using </w:t>
      </w:r>
      <w:proofErr w:type="gramStart"/>
      <w:r w:rsidR="003624CB">
        <w:t>multi Rx</w:t>
      </w:r>
      <w:proofErr w:type="gramEnd"/>
      <w:r w:rsidR="003624CB">
        <w:t xml:space="preserve"> with in </w:t>
      </w:r>
      <w:proofErr w:type="spellStart"/>
      <w:r w:rsidR="003624CB">
        <w:t>mDCI</w:t>
      </w:r>
      <w:proofErr w:type="spellEnd"/>
      <w:r w:rsidR="003624CB">
        <w:t xml:space="preserve"> scenario</w:t>
      </w:r>
      <w:r w:rsidR="00310B98">
        <w:t xml:space="preserve">. </w:t>
      </w:r>
    </w:p>
    <w:p w14:paraId="4A227728" w14:textId="6DAC664E" w:rsidR="005B0688" w:rsidRDefault="008F1D5C" w:rsidP="0013414C">
      <w:pPr>
        <w:pStyle w:val="RAN4observation0"/>
      </w:pPr>
      <w:bookmarkStart w:id="25" w:name="_Toc127557109"/>
      <w:r>
        <w:t xml:space="preserve">In </w:t>
      </w:r>
      <w:proofErr w:type="spellStart"/>
      <w:r>
        <w:t>mDCI</w:t>
      </w:r>
      <w:proofErr w:type="spellEnd"/>
      <w:r>
        <w:t xml:space="preserve"> scenario, </w:t>
      </w:r>
      <w:r w:rsidR="005B0688">
        <w:t xml:space="preserve">Rel-16 MAC CE based </w:t>
      </w:r>
      <w:r w:rsidR="007444EF">
        <w:t xml:space="preserve">TCI </w:t>
      </w:r>
      <w:r w:rsidR="005B0688">
        <w:t>switching</w:t>
      </w:r>
      <w:r w:rsidR="007444EF">
        <w:t xml:space="preserve"> applied only to single </w:t>
      </w:r>
      <w:r w:rsidR="00A20653">
        <w:t xml:space="preserve">PDCCH </w:t>
      </w:r>
      <w:r w:rsidR="007444EF">
        <w:t>TCI state</w:t>
      </w:r>
      <w:r w:rsidR="004D6B62">
        <w:t>.</w:t>
      </w:r>
      <w:bookmarkEnd w:id="25"/>
      <w:r w:rsidR="004D6B62">
        <w:t xml:space="preserve"> </w:t>
      </w:r>
    </w:p>
    <w:p w14:paraId="1B705F78" w14:textId="77777777" w:rsidR="004D6B62" w:rsidRDefault="00015482" w:rsidP="00015482">
      <w:pPr>
        <w:pStyle w:val="RAN4proposal"/>
      </w:pPr>
      <w:bookmarkStart w:id="26" w:name="_Toc127557110"/>
      <w:r w:rsidRPr="00BB2975">
        <w:t>RAN4 to use Rel-16 requirements for MAC CE TCI switching as baseline for multi-DCI scenario.</w:t>
      </w:r>
      <w:bookmarkEnd w:id="26"/>
    </w:p>
    <w:p w14:paraId="6C45D0E9" w14:textId="0812B657" w:rsidR="00015482" w:rsidRDefault="004D6B62" w:rsidP="00FD67C5">
      <w:pPr>
        <w:pStyle w:val="RAN4observation0"/>
      </w:pPr>
      <w:bookmarkStart w:id="27" w:name="_Toc127557111"/>
      <w:r>
        <w:t>Transition from 1 PDCCH state (</w:t>
      </w:r>
      <w:proofErr w:type="spellStart"/>
      <w:r>
        <w:t>sDCI</w:t>
      </w:r>
      <w:proofErr w:type="spellEnd"/>
      <w:r>
        <w:t>) to 2 PDCCH states (</w:t>
      </w:r>
      <w:proofErr w:type="spellStart"/>
      <w:r>
        <w:t>mDCI</w:t>
      </w:r>
      <w:proofErr w:type="spellEnd"/>
      <w:r>
        <w:t>) is done by RRC</w:t>
      </w:r>
      <w:r w:rsidR="003440DC">
        <w:t xml:space="preserve"> in Rel-16.</w:t>
      </w:r>
      <w:bookmarkEnd w:id="27"/>
      <w:r w:rsidR="003440DC">
        <w:t xml:space="preserve"> </w:t>
      </w:r>
    </w:p>
    <w:p w14:paraId="52DC9076" w14:textId="746FA3C5" w:rsidR="003440DC" w:rsidRPr="00FD67C5" w:rsidRDefault="003440DC" w:rsidP="00871F95">
      <w:pPr>
        <w:pStyle w:val="RAN4proposal"/>
      </w:pPr>
      <w:bookmarkStart w:id="28" w:name="_Toc127557112"/>
      <w:r>
        <w:t xml:space="preserve">RAN4 to discuss </w:t>
      </w:r>
      <w:r w:rsidR="006D3AAA">
        <w:t xml:space="preserve">Single to Dual PDCCH state </w:t>
      </w:r>
      <w:r w:rsidR="00E9585A">
        <w:t xml:space="preserve">switch requirements </w:t>
      </w:r>
      <w:r w:rsidR="00784CFF">
        <w:t>using RRC</w:t>
      </w:r>
      <w:r w:rsidR="00170C9E">
        <w:t xml:space="preserve"> for </w:t>
      </w:r>
      <w:proofErr w:type="spellStart"/>
      <w:r w:rsidR="00170C9E">
        <w:t>mDCI</w:t>
      </w:r>
      <w:proofErr w:type="spellEnd"/>
      <w:r w:rsidR="00170C9E">
        <w:t xml:space="preserve"> scenario.</w:t>
      </w:r>
      <w:bookmarkEnd w:id="28"/>
      <w:r w:rsidR="00170C9E">
        <w:t xml:space="preserve"> </w:t>
      </w:r>
    </w:p>
    <w:p w14:paraId="5D1EFA5E" w14:textId="77777777" w:rsidR="00F54313" w:rsidRDefault="00F54313" w:rsidP="00F54313">
      <w:pPr>
        <w:pStyle w:val="RAN4H1"/>
      </w:pPr>
      <w:r>
        <w:t>Use of L1-RSRP delay for TCI switching delay</w:t>
      </w:r>
    </w:p>
    <w:p w14:paraId="0877D65F" w14:textId="77777777" w:rsidR="00F54313" w:rsidRDefault="00F54313" w:rsidP="00BE5EF1">
      <w:pPr>
        <w:rPr>
          <w:rStyle w:val="normaltextrun"/>
        </w:rPr>
      </w:pPr>
      <w:r>
        <w:t xml:space="preserve">The existing RRC based TCI state switch delay and MAC CE based TCI state switch delay factor in L1 RSRP timing when the target TCI state is unknown. There is ongoing discussion regarding improvements in L1 RSRP measurements as part of </w:t>
      </w:r>
      <w:proofErr w:type="gramStart"/>
      <w:r>
        <w:t>Multi-Rx</w:t>
      </w:r>
      <w:proofErr w:type="gramEnd"/>
      <w:r>
        <w:t xml:space="preserve"> track.</w:t>
      </w:r>
      <w:r>
        <w:rPr>
          <w:rStyle w:val="normaltextrun"/>
          <w:sz w:val="16"/>
          <w:szCs w:val="16"/>
          <w:vertAlign w:val="subscript"/>
        </w:rPr>
        <w:t xml:space="preserve"> </w:t>
      </w:r>
      <w:r>
        <w:t xml:space="preserve">These improvements once finalized should also be considered for </w:t>
      </w:r>
      <w:r>
        <w:rPr>
          <w:rStyle w:val="normaltextrun"/>
        </w:rPr>
        <w:t>T</w:t>
      </w:r>
      <w:r>
        <w:rPr>
          <w:rStyle w:val="normaltextrun"/>
          <w:sz w:val="16"/>
          <w:szCs w:val="16"/>
          <w:vertAlign w:val="subscript"/>
        </w:rPr>
        <w:t xml:space="preserve">L1-RSPR_Measurement_Period_SSB </w:t>
      </w:r>
      <w:r>
        <w:rPr>
          <w:rStyle w:val="normaltextrun"/>
        </w:rPr>
        <w:t>and T</w:t>
      </w:r>
      <w:r>
        <w:rPr>
          <w:rStyle w:val="normaltextrun"/>
          <w:sz w:val="16"/>
          <w:szCs w:val="16"/>
          <w:vertAlign w:val="subscript"/>
        </w:rPr>
        <w:t>L1-RSRP_Measurement_Period_CSI-RS</w:t>
      </w:r>
      <w:r>
        <w:rPr>
          <w:rStyle w:val="normaltextrun"/>
          <w:sz w:val="16"/>
          <w:szCs w:val="16"/>
        </w:rPr>
        <w:t xml:space="preserve"> </w:t>
      </w:r>
      <w:r>
        <w:rPr>
          <w:rStyle w:val="normaltextrun"/>
        </w:rPr>
        <w:t>to enable faster TCI state switch when the target TCI states in such cases is unknown.</w:t>
      </w:r>
    </w:p>
    <w:p w14:paraId="7867B567" w14:textId="343E6FED" w:rsidR="00F54313" w:rsidRDefault="00F54313" w:rsidP="00BE5EF1">
      <w:pPr>
        <w:pStyle w:val="RAN4observation0"/>
      </w:pPr>
      <w:r>
        <w:t xml:space="preserve"> </w:t>
      </w:r>
      <w:bookmarkStart w:id="29" w:name="_Toc127557113"/>
      <w:r w:rsidRPr="00B45AAA">
        <w:t>RRC based TCI state switch delay and MAC CE based TCI state switch delay are impacted by the L1-RSRP measurement</w:t>
      </w:r>
      <w:r>
        <w:t xml:space="preserve"> periods</w:t>
      </w:r>
      <w:r w:rsidRPr="00B45AAA">
        <w:t>. Discussions on improved L1-RSRP measurement</w:t>
      </w:r>
      <w:r w:rsidR="00244C0B">
        <w:t xml:space="preserve"> delays</w:t>
      </w:r>
      <w:r w:rsidRPr="00B45AAA">
        <w:t xml:space="preserve"> are </w:t>
      </w:r>
      <w:r w:rsidRPr="009C62B3">
        <w:t>ongoing</w:t>
      </w:r>
      <w:r w:rsidRPr="00F57304">
        <w:t>.</w:t>
      </w:r>
      <w:bookmarkEnd w:id="29"/>
    </w:p>
    <w:p w14:paraId="3DA727C7" w14:textId="77777777" w:rsidR="00F54313" w:rsidRDefault="00F54313" w:rsidP="00BE5EF1">
      <w:pPr>
        <w:pStyle w:val="RAN4proposal"/>
        <w:rPr>
          <w:rStyle w:val="normaltextrun"/>
        </w:rPr>
      </w:pPr>
      <w:r w:rsidRPr="00975B44">
        <w:t xml:space="preserve"> </w:t>
      </w:r>
      <w:bookmarkStart w:id="30" w:name="_Toc127557114"/>
      <w:r w:rsidRPr="00975B44">
        <w:t xml:space="preserve">L1-RSRP </w:t>
      </w:r>
      <w:r w:rsidRPr="003300D0">
        <w:t>measurement</w:t>
      </w:r>
      <w:r w:rsidRPr="00975B44">
        <w:t xml:space="preserve"> improvements once finalized should be reflected in </w:t>
      </w:r>
      <w:r w:rsidRPr="00975B44">
        <w:rPr>
          <w:rStyle w:val="normaltextrun"/>
          <w:bCs/>
        </w:rPr>
        <w:t>T</w:t>
      </w:r>
      <w:r w:rsidRPr="00975B44">
        <w:rPr>
          <w:rStyle w:val="normaltextrun"/>
          <w:bCs/>
          <w:sz w:val="16"/>
          <w:szCs w:val="16"/>
          <w:vertAlign w:val="subscript"/>
        </w:rPr>
        <w:t xml:space="preserve">L1-RSPR_Measurement_Period_SSB </w:t>
      </w:r>
      <w:r w:rsidRPr="00975B44">
        <w:rPr>
          <w:rStyle w:val="normaltextrun"/>
          <w:bCs/>
        </w:rPr>
        <w:t>and T</w:t>
      </w:r>
      <w:r w:rsidRPr="00975B44">
        <w:rPr>
          <w:rStyle w:val="normaltextrun"/>
          <w:bCs/>
          <w:sz w:val="16"/>
          <w:szCs w:val="16"/>
          <w:vertAlign w:val="subscript"/>
        </w:rPr>
        <w:t xml:space="preserve">L1-RSRP_Measurement_Period_CSI-RS </w:t>
      </w:r>
      <w:r w:rsidRPr="00975B44">
        <w:rPr>
          <w:rStyle w:val="normaltextrun"/>
          <w:bCs/>
        </w:rPr>
        <w:t>to enable faster switching of TCI states when the target TCI state is unknown.</w:t>
      </w:r>
      <w:bookmarkEnd w:id="30"/>
    </w:p>
    <w:p w14:paraId="1C14510E" w14:textId="77777777" w:rsidR="009C62B3" w:rsidRPr="009C62B3" w:rsidRDefault="009C62B3" w:rsidP="009C62B3"/>
    <w:p w14:paraId="6787DFAB" w14:textId="7FD0EAA3" w:rsidR="00A935F3" w:rsidRPr="00AD3B2B" w:rsidRDefault="00A935F3" w:rsidP="00AD3B2B">
      <w:pPr>
        <w:pStyle w:val="RAN4H1"/>
      </w:pPr>
      <w:r w:rsidRPr="00AD3B2B">
        <w:t>Known and Unknown conditions</w:t>
      </w:r>
    </w:p>
    <w:p w14:paraId="62B91AAB" w14:textId="5826DA4D" w:rsidR="00A935F3" w:rsidRDefault="00A935F3" w:rsidP="00EA0A6E">
      <w:pPr>
        <w:rPr>
          <w:lang w:eastAsia="zh-CN"/>
        </w:rPr>
      </w:pPr>
      <w:r>
        <w:t xml:space="preserve">As defined in 38.133, </w:t>
      </w:r>
      <w:r w:rsidRPr="009C5807">
        <w:rPr>
          <w:lang w:eastAsia="zh-CN"/>
        </w:rPr>
        <w:t>TCI state is known if the following conditions are met:</w:t>
      </w:r>
    </w:p>
    <w:tbl>
      <w:tblPr>
        <w:tblStyle w:val="TableGrid"/>
        <w:tblW w:w="0" w:type="auto"/>
        <w:tblInd w:w="-5" w:type="dxa"/>
        <w:tblLook w:val="04A0" w:firstRow="1" w:lastRow="0" w:firstColumn="1" w:lastColumn="0" w:noHBand="0" w:noVBand="1"/>
      </w:tblPr>
      <w:tblGrid>
        <w:gridCol w:w="9055"/>
      </w:tblGrid>
      <w:tr w:rsidR="00DF26BB" w14:paraId="106BD86B" w14:textId="77777777" w:rsidTr="00EA0A6E">
        <w:tc>
          <w:tcPr>
            <w:tcW w:w="9055" w:type="dxa"/>
          </w:tcPr>
          <w:p w14:paraId="2B424F7A" w14:textId="09786800" w:rsidR="00DF26BB" w:rsidRPr="009C5807" w:rsidRDefault="00DF26BB" w:rsidP="00B717C9">
            <w:pPr>
              <w:pStyle w:val="B1"/>
              <w:ind w:left="1003" w:firstLine="0"/>
            </w:pPr>
            <w:r w:rsidRPr="009C5807">
              <w:rPr>
                <w:lang w:eastAsia="zh-CN"/>
              </w:rPr>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29EFC1E8" w14:textId="77777777" w:rsidR="00DF26BB" w:rsidRPr="009C5807" w:rsidRDefault="00DF26BB" w:rsidP="00DF26BB">
            <w:pPr>
              <w:pStyle w:val="B2"/>
              <w:ind w:left="1570"/>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6DEE98CD" w14:textId="77777777" w:rsidR="00DF26BB" w:rsidRPr="009C5807" w:rsidRDefault="00DF26BB" w:rsidP="00DF26BB">
            <w:pPr>
              <w:pStyle w:val="B2"/>
              <w:ind w:left="1570"/>
              <w:rPr>
                <w:lang w:eastAsia="zh-CN"/>
              </w:rPr>
            </w:pPr>
            <w:r w:rsidRPr="009C5807">
              <w:rPr>
                <w:lang w:eastAsia="zh-CN"/>
              </w:rPr>
              <w:t>-</w:t>
            </w:r>
            <w:r w:rsidRPr="009C5807">
              <w:rPr>
                <w:lang w:eastAsia="zh-CN"/>
              </w:rPr>
              <w:tab/>
              <w:t>The UE has sent at least 1 L1-RSRP report for the target TCI state before the TCI state switch command</w:t>
            </w:r>
          </w:p>
          <w:p w14:paraId="7568E129" w14:textId="77777777" w:rsidR="00DF26BB" w:rsidRPr="009C5807" w:rsidRDefault="00DF26BB" w:rsidP="00DF26BB">
            <w:pPr>
              <w:pStyle w:val="B2"/>
              <w:ind w:left="1570"/>
              <w:rPr>
                <w:lang w:eastAsia="zh-CN"/>
              </w:rPr>
            </w:pPr>
            <w:r w:rsidRPr="009C5807">
              <w:rPr>
                <w:lang w:eastAsia="zh-CN"/>
              </w:rPr>
              <w:t>-</w:t>
            </w:r>
            <w:r w:rsidRPr="009C5807">
              <w:rPr>
                <w:lang w:eastAsia="zh-CN"/>
              </w:rPr>
              <w:tab/>
              <w:t>The TCI state remains detectable during the TCI state switching period</w:t>
            </w:r>
          </w:p>
          <w:p w14:paraId="5392E94A" w14:textId="77777777" w:rsidR="00DF26BB" w:rsidRPr="009C5807" w:rsidRDefault="00DF26BB" w:rsidP="00DF26BB">
            <w:pPr>
              <w:pStyle w:val="B2"/>
              <w:ind w:left="1570"/>
              <w:rPr>
                <w:lang w:eastAsia="zh-CN"/>
              </w:rPr>
            </w:pPr>
            <w:r w:rsidRPr="009C5807">
              <w:rPr>
                <w:lang w:eastAsia="zh-CN"/>
              </w:rPr>
              <w:t>-</w:t>
            </w:r>
            <w:r w:rsidRPr="009C5807">
              <w:rPr>
                <w:lang w:eastAsia="zh-CN"/>
              </w:rPr>
              <w:tab/>
              <w:t>The SSB associated with the TCI state remain detectable during the TCI switching period</w:t>
            </w:r>
          </w:p>
          <w:p w14:paraId="460C9E6A" w14:textId="77777777" w:rsidR="00DF26BB" w:rsidRPr="009C5807" w:rsidRDefault="00DF26BB" w:rsidP="00DF26BB">
            <w:pPr>
              <w:pStyle w:val="B3"/>
              <w:ind w:left="1854"/>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6D261CE0" w14:textId="77777777" w:rsidR="00DF26BB" w:rsidRDefault="00DF26BB" w:rsidP="00DF26BB">
            <w:pPr>
              <w:ind w:firstLine="720"/>
              <w:rPr>
                <w:rFonts w:eastAsia="Malgun Gothic"/>
                <w:lang w:eastAsia="zh-CN"/>
              </w:rPr>
            </w:pPr>
            <w:r w:rsidRPr="009C5807">
              <w:rPr>
                <w:rFonts w:eastAsia="Malgun Gothic"/>
                <w:lang w:eastAsia="zh-CN"/>
              </w:rPr>
              <w:t>Otherwise, the TCI state is unknown.</w:t>
            </w:r>
          </w:p>
          <w:p w14:paraId="13647868" w14:textId="77777777" w:rsidR="00DF26BB" w:rsidRDefault="00DF26BB" w:rsidP="00A935F3">
            <w:pPr>
              <w:rPr>
                <w:rFonts w:eastAsia="Malgun Gothic" w:cs="v4.2.0"/>
                <w:lang w:eastAsia="zh-CN"/>
              </w:rPr>
            </w:pPr>
          </w:p>
        </w:tc>
      </w:tr>
    </w:tbl>
    <w:p w14:paraId="79945D22" w14:textId="77777777" w:rsidR="00DF26BB" w:rsidRPr="009C5807" w:rsidRDefault="00DF26BB" w:rsidP="002B4375">
      <w:pPr>
        <w:rPr>
          <w:rFonts w:eastAsia="Malgun Gothic" w:cs="v4.2.0"/>
          <w:lang w:eastAsia="zh-CN"/>
        </w:rPr>
      </w:pPr>
    </w:p>
    <w:p w14:paraId="3FAC413B" w14:textId="77777777" w:rsidR="00A935F3" w:rsidRDefault="00A935F3" w:rsidP="00EA0A6E">
      <w:pPr>
        <w:rPr>
          <w:rStyle w:val="eop"/>
          <w:szCs w:val="20"/>
        </w:rPr>
      </w:pPr>
      <w:r>
        <w:rPr>
          <w:rStyle w:val="normaltextrun"/>
          <w:szCs w:val="20"/>
        </w:rPr>
        <w:t>These conditions even though currently defined for single TCI state can be interpreted as being related to whether there is a valid L1-RSRP measurement for the target TCI state and if the associated RS of the target TCI state remains detectable. When considering multiple Rx chain UE, there is no difference on the interpretation of those conditions. Therefore, we don’t see immediate need to change the existing conditions for dual TCI state switch compared to the single TCI state switch. </w:t>
      </w:r>
      <w:r>
        <w:rPr>
          <w:rStyle w:val="eop"/>
          <w:szCs w:val="20"/>
        </w:rPr>
        <w:t> </w:t>
      </w:r>
    </w:p>
    <w:p w14:paraId="685A5E6B" w14:textId="13DF0326" w:rsidR="00A935F3" w:rsidRPr="00B45AAA" w:rsidRDefault="00A935F3" w:rsidP="0021300D">
      <w:pPr>
        <w:pStyle w:val="RAN4observation0"/>
        <w:rPr>
          <w:bCs/>
        </w:rPr>
      </w:pPr>
      <w:bookmarkStart w:id="31" w:name="_Toc127557115"/>
      <w:r w:rsidRPr="00B45AAA">
        <w:t xml:space="preserve">The </w:t>
      </w:r>
      <w:r w:rsidR="009516B8">
        <w:t>exi</w:t>
      </w:r>
      <w:r w:rsidR="00B02207">
        <w:t xml:space="preserve">sting </w:t>
      </w:r>
      <w:r w:rsidRPr="00B45AAA">
        <w:t>conditions defined for a target TCI state to be known are based on whether the UE has reported a valid L</w:t>
      </w:r>
      <w:r>
        <w:t>1</w:t>
      </w:r>
      <w:r w:rsidRPr="00B45AAA">
        <w:t>-RSRP measurement for the target TCI state and reference signal associated with the TCI state is detectable during the switching period.</w:t>
      </w:r>
      <w:bookmarkEnd w:id="31"/>
    </w:p>
    <w:p w14:paraId="66C13A60" w14:textId="590DFE61" w:rsidR="004A7CD9" w:rsidRPr="00476393" w:rsidRDefault="006B27BF" w:rsidP="00EA0A6E">
      <w:r>
        <w:t xml:space="preserve">Furthermore, RAN4 has been discussing </w:t>
      </w:r>
      <w:r w:rsidR="00A042C4">
        <w:t xml:space="preserve">known and unknown TCI state support related to dual TCI switch. The following options were </w:t>
      </w:r>
      <w:r w:rsidR="00915767">
        <w:t xml:space="preserve">listed in the </w:t>
      </w:r>
      <w:r w:rsidR="007842DE">
        <w:t>previous meeting:</w:t>
      </w:r>
    </w:p>
    <w:tbl>
      <w:tblPr>
        <w:tblStyle w:val="TableGrid"/>
        <w:tblW w:w="0" w:type="auto"/>
        <w:tblInd w:w="534" w:type="dxa"/>
        <w:tblLook w:val="04A0" w:firstRow="1" w:lastRow="0" w:firstColumn="1" w:lastColumn="0" w:noHBand="0" w:noVBand="1"/>
      </w:tblPr>
      <w:tblGrid>
        <w:gridCol w:w="9083"/>
      </w:tblGrid>
      <w:tr w:rsidR="004A7CD9" w14:paraId="30A03333" w14:textId="77777777" w:rsidTr="008008E6">
        <w:tc>
          <w:tcPr>
            <w:tcW w:w="9083" w:type="dxa"/>
          </w:tcPr>
          <w:p w14:paraId="3BDCD645" w14:textId="77777777" w:rsidR="004A7CD9" w:rsidRDefault="004A7CD9" w:rsidP="007B1928">
            <w:pPr>
              <w:pStyle w:val="paragraph"/>
              <w:numPr>
                <w:ilvl w:val="0"/>
                <w:numId w:val="38"/>
              </w:numPr>
              <w:spacing w:before="0" w:beforeAutospacing="0" w:after="0" w:afterAutospacing="0"/>
              <w:ind w:firstLine="0"/>
              <w:textAlignment w:val="baseline"/>
              <w:rPr>
                <w:rFonts w:ascii="Arial" w:hAnsi="Arial" w:cs="Arial"/>
              </w:rPr>
            </w:pPr>
            <w:proofErr w:type="spellStart"/>
            <w:r>
              <w:rPr>
                <w:rStyle w:val="normaltextrun"/>
                <w:rFonts w:ascii="Arial" w:hAnsi="Arial" w:cs="Arial"/>
                <w:lang w:val="sv-SE"/>
              </w:rPr>
              <w:t>Sub-topic</w:t>
            </w:r>
            <w:proofErr w:type="spellEnd"/>
            <w:r>
              <w:rPr>
                <w:rStyle w:val="normaltextrun"/>
                <w:rFonts w:ascii="Arial" w:hAnsi="Arial" w:cs="Arial"/>
                <w:lang w:val="sv-SE"/>
              </w:rPr>
              <w:t xml:space="preserve"> 1-4: </w:t>
            </w:r>
            <w:proofErr w:type="spellStart"/>
            <w:r>
              <w:rPr>
                <w:rStyle w:val="normaltextrun"/>
                <w:rFonts w:ascii="Arial" w:hAnsi="Arial" w:cs="Arial"/>
                <w:lang w:val="sv-SE"/>
              </w:rPr>
              <w:t>known</w:t>
            </w:r>
            <w:proofErr w:type="spellEnd"/>
            <w:r>
              <w:rPr>
                <w:rStyle w:val="normaltextrun"/>
                <w:rFonts w:ascii="Arial" w:hAnsi="Arial" w:cs="Arial"/>
                <w:lang w:val="sv-SE"/>
              </w:rPr>
              <w:t xml:space="preserve"> and </w:t>
            </w:r>
            <w:proofErr w:type="spellStart"/>
            <w:r>
              <w:rPr>
                <w:rStyle w:val="normaltextrun"/>
                <w:rFonts w:ascii="Arial" w:hAnsi="Arial" w:cs="Arial"/>
                <w:lang w:val="sv-SE"/>
              </w:rPr>
              <w:t>unknown</w:t>
            </w:r>
            <w:proofErr w:type="spellEnd"/>
            <w:r>
              <w:rPr>
                <w:rStyle w:val="normaltextrun"/>
                <w:rFonts w:ascii="Arial" w:hAnsi="Arial" w:cs="Arial"/>
                <w:lang w:val="sv-SE"/>
              </w:rPr>
              <w:t xml:space="preserve"> </w:t>
            </w:r>
            <w:proofErr w:type="spellStart"/>
            <w:r>
              <w:rPr>
                <w:rStyle w:val="normaltextrun"/>
                <w:rFonts w:ascii="Arial" w:hAnsi="Arial" w:cs="Arial"/>
                <w:lang w:val="sv-SE"/>
              </w:rPr>
              <w:t>conditions</w:t>
            </w:r>
            <w:proofErr w:type="spellEnd"/>
            <w:r>
              <w:rPr>
                <w:rStyle w:val="normaltextrun"/>
                <w:rFonts w:ascii="Arial" w:hAnsi="Arial" w:cs="Arial"/>
                <w:lang w:val="sv-SE"/>
              </w:rPr>
              <w:t>. </w:t>
            </w:r>
            <w:r>
              <w:rPr>
                <w:rStyle w:val="eop"/>
                <w:rFonts w:ascii="Arial" w:hAnsi="Arial" w:cs="Arial"/>
              </w:rPr>
              <w:t> </w:t>
            </w:r>
          </w:p>
          <w:p w14:paraId="2214DAAD" w14:textId="77777777" w:rsidR="004A7CD9" w:rsidRDefault="004A7CD9" w:rsidP="007B1928">
            <w:pPr>
              <w:pStyle w:val="paragraph"/>
              <w:spacing w:before="0" w:beforeAutospacing="0" w:after="0" w:afterAutospacing="0"/>
              <w:textAlignment w:val="baseline"/>
              <w:rPr>
                <w:sz w:val="22"/>
                <w:szCs w:val="22"/>
              </w:rPr>
            </w:pPr>
            <w:r>
              <w:rPr>
                <w:rStyle w:val="normaltextrun"/>
                <w:b/>
                <w:bCs/>
                <w:sz w:val="20"/>
                <w:szCs w:val="20"/>
                <w:u w:val="single"/>
                <w:lang w:val="en-GB"/>
              </w:rPr>
              <w:t>Issue 1-4-1: Known and unknown states combination</w:t>
            </w:r>
            <w:r>
              <w:rPr>
                <w:rStyle w:val="eop"/>
                <w:sz w:val="20"/>
                <w:szCs w:val="20"/>
              </w:rPr>
              <w:t> </w:t>
            </w:r>
          </w:p>
          <w:p w14:paraId="1515EEE0" w14:textId="77777777" w:rsidR="004A7CD9" w:rsidRDefault="004A7CD9" w:rsidP="007B1928">
            <w:pPr>
              <w:pStyle w:val="paragraph"/>
              <w:numPr>
                <w:ilvl w:val="0"/>
                <w:numId w:val="39"/>
              </w:numPr>
              <w:spacing w:before="0" w:beforeAutospacing="0" w:after="0" w:afterAutospacing="0"/>
              <w:ind w:left="1080" w:firstLine="0"/>
              <w:textAlignment w:val="baseline"/>
              <w:rPr>
                <w:sz w:val="22"/>
                <w:szCs w:val="22"/>
              </w:rPr>
            </w:pPr>
            <w:r>
              <w:rPr>
                <w:rStyle w:val="normaltextrun"/>
                <w:sz w:val="20"/>
                <w:szCs w:val="20"/>
                <w:lang w:val="en-GB"/>
              </w:rPr>
              <w:t>Dual TCI state switching requirements are defined for simultaneous reception. It is FFS whether we need to define any new requirements for non-simultaneous reception. The dual TCI states known, or unknown are FFS. </w:t>
            </w:r>
            <w:r>
              <w:rPr>
                <w:rStyle w:val="eop"/>
                <w:sz w:val="20"/>
                <w:szCs w:val="20"/>
              </w:rPr>
              <w:t> </w:t>
            </w:r>
          </w:p>
          <w:p w14:paraId="0579BA8E" w14:textId="77777777" w:rsidR="004A7CD9" w:rsidRDefault="004A7CD9" w:rsidP="007B1928">
            <w:pPr>
              <w:pStyle w:val="paragraph"/>
              <w:numPr>
                <w:ilvl w:val="0"/>
                <w:numId w:val="40"/>
              </w:numPr>
              <w:spacing w:before="0" w:beforeAutospacing="0" w:after="0" w:afterAutospacing="0"/>
              <w:ind w:left="1800" w:firstLine="0"/>
              <w:textAlignment w:val="baseline"/>
              <w:rPr>
                <w:sz w:val="22"/>
                <w:szCs w:val="22"/>
              </w:rPr>
            </w:pPr>
            <w:r>
              <w:rPr>
                <w:rStyle w:val="normaltextrun"/>
                <w:sz w:val="20"/>
                <w:szCs w:val="20"/>
                <w:lang w:val="en-GB"/>
              </w:rPr>
              <w:t>Option A: known and known </w:t>
            </w:r>
            <w:r>
              <w:rPr>
                <w:rStyle w:val="eop"/>
                <w:sz w:val="20"/>
                <w:szCs w:val="20"/>
              </w:rPr>
              <w:t> </w:t>
            </w:r>
          </w:p>
          <w:p w14:paraId="29F68F63" w14:textId="10CD4E9A" w:rsidR="004A7CD9" w:rsidRDefault="004A7CD9" w:rsidP="007B1928">
            <w:pPr>
              <w:pStyle w:val="paragraph"/>
              <w:numPr>
                <w:ilvl w:val="0"/>
                <w:numId w:val="41"/>
              </w:numPr>
              <w:spacing w:before="0" w:beforeAutospacing="0" w:after="0" w:afterAutospacing="0"/>
              <w:ind w:left="1800" w:firstLine="0"/>
              <w:textAlignment w:val="baseline"/>
              <w:rPr>
                <w:sz w:val="22"/>
                <w:szCs w:val="22"/>
              </w:rPr>
            </w:pPr>
            <w:r>
              <w:rPr>
                <w:rStyle w:val="normaltextrun"/>
                <w:sz w:val="20"/>
                <w:szCs w:val="20"/>
                <w:lang w:val="en-GB"/>
              </w:rPr>
              <w:t>Option B: Known and unknown </w:t>
            </w:r>
            <w:r>
              <w:rPr>
                <w:rStyle w:val="eop"/>
                <w:sz w:val="20"/>
                <w:szCs w:val="20"/>
              </w:rPr>
              <w:t> </w:t>
            </w:r>
          </w:p>
          <w:p w14:paraId="72E78C79" w14:textId="77777777" w:rsidR="004A7CD9" w:rsidRDefault="004A7CD9" w:rsidP="007B1928">
            <w:pPr>
              <w:pStyle w:val="paragraph"/>
              <w:numPr>
                <w:ilvl w:val="0"/>
                <w:numId w:val="41"/>
              </w:numPr>
              <w:spacing w:before="0" w:beforeAutospacing="0" w:after="0" w:afterAutospacing="0"/>
              <w:ind w:left="1800" w:firstLine="0"/>
              <w:textAlignment w:val="baseline"/>
              <w:rPr>
                <w:sz w:val="22"/>
                <w:szCs w:val="22"/>
              </w:rPr>
            </w:pPr>
            <w:r>
              <w:rPr>
                <w:rStyle w:val="normaltextrun"/>
                <w:sz w:val="20"/>
                <w:szCs w:val="20"/>
                <w:lang w:val="en-GB"/>
              </w:rPr>
              <w:t>Option C: unknown and unknown</w:t>
            </w:r>
            <w:r>
              <w:rPr>
                <w:rStyle w:val="eop"/>
                <w:sz w:val="20"/>
                <w:szCs w:val="20"/>
              </w:rPr>
              <w:t> </w:t>
            </w:r>
          </w:p>
          <w:p w14:paraId="3804F10C" w14:textId="77777777" w:rsidR="004A7CD9" w:rsidRDefault="004A7CD9" w:rsidP="007B1928"/>
        </w:tc>
      </w:tr>
    </w:tbl>
    <w:p w14:paraId="5D4504FA" w14:textId="77777777" w:rsidR="004A7CD9" w:rsidRDefault="004A7CD9" w:rsidP="004A7CD9"/>
    <w:p w14:paraId="305A41FC" w14:textId="3F1BB4E6" w:rsidR="00BE5DF8" w:rsidRDefault="0061730E" w:rsidP="00BE5DF8">
      <w:r>
        <w:t>Option A</w:t>
      </w:r>
      <w:r w:rsidR="003633F4">
        <w:t xml:space="preserve"> where both TCI states are known can </w:t>
      </w:r>
      <w:r w:rsidR="002D7AF5">
        <w:t xml:space="preserve">in </w:t>
      </w:r>
      <w:r w:rsidR="00D772A8">
        <w:t xml:space="preserve">our </w:t>
      </w:r>
      <w:r w:rsidR="00EA20B3">
        <w:t xml:space="preserve">view be supported </w:t>
      </w:r>
      <w:r w:rsidR="00F04661">
        <w:t>for all TCI state switching types and scenarios.</w:t>
      </w:r>
      <w:r w:rsidR="00795E74">
        <w:t xml:space="preserve"> </w:t>
      </w:r>
      <w:r w:rsidR="00BE5DF8">
        <w:t xml:space="preserve">Taking the current DCI based TCI state switching requirements in case of single TRP as a baseline, in case of known conditions for dual TCI state switching Option A where both the target TCI states are known should be a pre-requisite for DCI based TCI state switching in case of </w:t>
      </w:r>
      <w:r w:rsidR="00DD1A7E">
        <w:t>s</w:t>
      </w:r>
      <w:r w:rsidR="00BE5DF8">
        <w:t>-DCI scenarios.</w:t>
      </w:r>
    </w:p>
    <w:p w14:paraId="2859B206" w14:textId="672B6EEA" w:rsidR="006502BC" w:rsidRPr="006502BC" w:rsidRDefault="00552D25" w:rsidP="00DB0635">
      <w:pPr>
        <w:pStyle w:val="RAN4proposal"/>
        <w:rPr>
          <w:lang w:eastAsia="zh-CN"/>
        </w:rPr>
      </w:pPr>
      <w:r>
        <w:t xml:space="preserve"> </w:t>
      </w:r>
      <w:bookmarkStart w:id="32" w:name="_Toc127557116"/>
      <w:r>
        <w:t xml:space="preserve">Both target TCI states need to be known </w:t>
      </w:r>
      <w:proofErr w:type="gramStart"/>
      <w:r>
        <w:t>in order to</w:t>
      </w:r>
      <w:proofErr w:type="gramEnd"/>
      <w:r>
        <w:t xml:space="preserve"> use </w:t>
      </w:r>
      <w:r w:rsidR="002651CC">
        <w:t xml:space="preserve">the requirements with </w:t>
      </w:r>
      <w:r>
        <w:t>known conditions for DCI based TCI switching in single DCI scenario.</w:t>
      </w:r>
      <w:bookmarkEnd w:id="32"/>
      <w:r>
        <w:t xml:space="preserve"> </w:t>
      </w:r>
    </w:p>
    <w:p w14:paraId="21367CA6" w14:textId="16E4F533" w:rsidR="0061730E" w:rsidRDefault="00313FCD" w:rsidP="00D026E1">
      <w:r>
        <w:t>However, there might be other scenarios where Option B (Known and unknown) may also be supported</w:t>
      </w:r>
      <w:r w:rsidR="00205549">
        <w:t xml:space="preserve">. </w:t>
      </w:r>
      <w:r w:rsidR="0046515C">
        <w:t>That is the case for the UE</w:t>
      </w:r>
      <w:r w:rsidR="009E2849">
        <w:t xml:space="preserve"> receiving a MAC CE </w:t>
      </w:r>
      <w:r w:rsidR="00DD32D4">
        <w:t xml:space="preserve">indication of two PDCCH TCI states. This MAC CE command is currently only used for </w:t>
      </w:r>
      <w:r w:rsidR="00464E27">
        <w:t>single DCI PDCCH SFN. In that situation, since the UE can receive PDCCH from on</w:t>
      </w:r>
      <w:r w:rsidR="006B21EB">
        <w:t xml:space="preserve">e of the TCI states that is known, there is no reason to extend the delay for </w:t>
      </w:r>
      <w:r w:rsidR="00D17DA7">
        <w:t xml:space="preserve">the TCI switching. </w:t>
      </w:r>
    </w:p>
    <w:p w14:paraId="08BBC997" w14:textId="48126A7D" w:rsidR="00A935F3" w:rsidRDefault="00A935F3" w:rsidP="00B15ECD">
      <w:pPr>
        <w:pStyle w:val="RAN4proposal"/>
        <w:rPr>
          <w:rStyle w:val="eop"/>
        </w:rPr>
      </w:pPr>
      <w:bookmarkStart w:id="33" w:name="_Toc127557117"/>
      <w:r w:rsidRPr="00937A7A">
        <w:rPr>
          <w:rStyle w:val="eop"/>
        </w:rPr>
        <w:t>For multi-DCI scenario, known/unknown conditions are analyzed for each target TCI state independently.</w:t>
      </w:r>
      <w:bookmarkEnd w:id="33"/>
    </w:p>
    <w:p w14:paraId="6C6BC0BE" w14:textId="1A1A7EA0" w:rsidR="00903FBC" w:rsidRPr="00D43A41" w:rsidRDefault="0004264B" w:rsidP="000178EB">
      <w:pPr>
        <w:pStyle w:val="RAN4H1"/>
      </w:pPr>
      <w:r w:rsidRPr="00D43A41">
        <w:t>TCI state list update requirements</w:t>
      </w:r>
    </w:p>
    <w:p w14:paraId="289BD266" w14:textId="7B198236" w:rsidR="009C052B" w:rsidRPr="00DB0635" w:rsidRDefault="009C052B" w:rsidP="00DB0635">
      <w:r w:rsidRPr="00DB0635">
        <w:rPr>
          <w:lang w:val="en-GB"/>
        </w:rPr>
        <w:t>In the last RAN4 meeting, the following proposals were discussed related to TCI state list update requirements</w:t>
      </w:r>
      <w:r w:rsidR="00871E99">
        <w:rPr>
          <w:lang w:val="en-GB"/>
        </w:rPr>
        <w:t xml:space="preserve"> </w:t>
      </w:r>
      <w:r w:rsidR="00F32BE3">
        <w:rPr>
          <w:lang w:val="en-GB"/>
        </w:rPr>
        <w:fldChar w:fldCharType="begin"/>
      </w:r>
      <w:r w:rsidR="00F32BE3">
        <w:rPr>
          <w:lang w:val="en-GB"/>
        </w:rPr>
        <w:instrText xml:space="preserve"> REF _Ref127516385 \r \h </w:instrText>
      </w:r>
      <w:r w:rsidR="00F32BE3">
        <w:rPr>
          <w:lang w:val="en-GB"/>
        </w:rPr>
      </w:r>
      <w:r w:rsidR="00F32BE3">
        <w:rPr>
          <w:lang w:val="en-GB"/>
        </w:rPr>
        <w:fldChar w:fldCharType="separate"/>
      </w:r>
      <w:r w:rsidR="00F32BE3">
        <w:rPr>
          <w:lang w:val="en-GB"/>
        </w:rPr>
        <w:t>[4]</w:t>
      </w:r>
      <w:r w:rsidR="00F32BE3">
        <w:rPr>
          <w:lang w:val="en-GB"/>
        </w:rPr>
        <w:fldChar w:fldCharType="end"/>
      </w:r>
      <w:r w:rsidRPr="00DB0635">
        <w:rPr>
          <w:lang w:val="en-GB"/>
        </w:rPr>
        <w:t>:</w:t>
      </w:r>
    </w:p>
    <w:tbl>
      <w:tblPr>
        <w:tblStyle w:val="TableGrid"/>
        <w:tblW w:w="0" w:type="auto"/>
        <w:tblInd w:w="675" w:type="dxa"/>
        <w:tblLook w:val="04A0" w:firstRow="1" w:lastRow="0" w:firstColumn="1" w:lastColumn="0" w:noHBand="0" w:noVBand="1"/>
      </w:tblPr>
      <w:tblGrid>
        <w:gridCol w:w="8942"/>
      </w:tblGrid>
      <w:tr w:rsidR="0004264B" w14:paraId="55A065DD" w14:textId="77777777" w:rsidTr="00E53FBB">
        <w:tc>
          <w:tcPr>
            <w:tcW w:w="8942" w:type="dxa"/>
          </w:tcPr>
          <w:p w14:paraId="25441C93" w14:textId="77777777" w:rsidR="0004264B" w:rsidRDefault="0004264B" w:rsidP="00952A81">
            <w:pPr>
              <w:pStyle w:val="paragraph"/>
              <w:spacing w:before="240" w:beforeAutospacing="0" w:after="0" w:afterAutospacing="0"/>
              <w:textAlignment w:val="baseline"/>
              <w:rPr>
                <w:sz w:val="20"/>
                <w:szCs w:val="20"/>
              </w:rPr>
            </w:pPr>
            <w:r>
              <w:rPr>
                <w:rStyle w:val="normaltextrun"/>
                <w:color w:val="0070C0"/>
                <w:sz w:val="20"/>
                <w:szCs w:val="20"/>
              </w:rPr>
              <w:t>Proposals</w:t>
            </w:r>
            <w:r>
              <w:rPr>
                <w:rStyle w:val="eop"/>
                <w:color w:val="0070C0"/>
                <w:sz w:val="20"/>
                <w:szCs w:val="20"/>
              </w:rPr>
              <w:t> </w:t>
            </w:r>
          </w:p>
          <w:p w14:paraId="410906B9" w14:textId="77777777" w:rsidR="0004264B" w:rsidRDefault="0004264B" w:rsidP="0004264B">
            <w:pPr>
              <w:pStyle w:val="paragraph"/>
              <w:numPr>
                <w:ilvl w:val="0"/>
                <w:numId w:val="43"/>
              </w:numPr>
              <w:spacing w:before="240" w:beforeAutospacing="0" w:after="0" w:afterAutospacing="0"/>
              <w:textAlignment w:val="baseline"/>
              <w:rPr>
                <w:sz w:val="20"/>
                <w:szCs w:val="20"/>
              </w:rPr>
            </w:pPr>
            <w:r>
              <w:rPr>
                <w:rStyle w:val="normaltextrun"/>
                <w:color w:val="0070C0"/>
                <w:sz w:val="20"/>
                <w:szCs w:val="20"/>
              </w:rPr>
              <w:t>Proposal 1: For active TCI state list update, requirements for addition of dual TCI states should be specified. </w:t>
            </w:r>
            <w:r>
              <w:rPr>
                <w:rStyle w:val="eop"/>
                <w:color w:val="0070C0"/>
                <w:sz w:val="20"/>
                <w:szCs w:val="20"/>
              </w:rPr>
              <w:t> </w:t>
            </w:r>
          </w:p>
          <w:p w14:paraId="1253C073" w14:textId="77777777" w:rsidR="0004264B" w:rsidRDefault="0004264B" w:rsidP="0004264B">
            <w:pPr>
              <w:pStyle w:val="paragraph"/>
              <w:numPr>
                <w:ilvl w:val="0"/>
                <w:numId w:val="43"/>
              </w:numPr>
              <w:spacing w:before="240" w:beforeAutospacing="0" w:after="0" w:afterAutospacing="0"/>
              <w:textAlignment w:val="baseline"/>
              <w:rPr>
                <w:sz w:val="20"/>
                <w:szCs w:val="20"/>
              </w:rPr>
            </w:pPr>
            <w:r>
              <w:rPr>
                <w:rStyle w:val="normaltextrun"/>
                <w:color w:val="0070C0"/>
                <w:sz w:val="20"/>
                <w:szCs w:val="20"/>
              </w:rPr>
              <w:t>Proposal 2: For active TCI state list update for addition of a new dual TCI states, legacy requirements can be used as baseline.</w:t>
            </w:r>
            <w:r>
              <w:rPr>
                <w:rStyle w:val="eop"/>
                <w:color w:val="0070C0"/>
                <w:sz w:val="20"/>
                <w:szCs w:val="20"/>
              </w:rPr>
              <w:t> </w:t>
            </w:r>
          </w:p>
          <w:p w14:paraId="320ABC11" w14:textId="77777777" w:rsidR="0004264B" w:rsidRDefault="0004264B" w:rsidP="0004264B">
            <w:pPr>
              <w:pStyle w:val="paragraph"/>
              <w:numPr>
                <w:ilvl w:val="0"/>
                <w:numId w:val="43"/>
              </w:numPr>
              <w:spacing w:before="240" w:beforeAutospacing="0" w:after="0" w:afterAutospacing="0"/>
              <w:textAlignment w:val="baseline"/>
              <w:rPr>
                <w:sz w:val="20"/>
                <w:szCs w:val="20"/>
              </w:rPr>
            </w:pPr>
            <w:r>
              <w:rPr>
                <w:rStyle w:val="normaltextrun"/>
                <w:color w:val="0070C0"/>
                <w:sz w:val="20"/>
                <w:szCs w:val="20"/>
              </w:rPr>
              <w:t>Proposal 3: RAN4 to discuss the active TCI state list update delay considering dual TCI state based on Activation/Deactivation of UE-specific PDSCH TCI state described in RAN2 spec.</w:t>
            </w:r>
            <w:r>
              <w:rPr>
                <w:rStyle w:val="eop"/>
                <w:color w:val="0070C0"/>
                <w:sz w:val="20"/>
                <w:szCs w:val="20"/>
              </w:rPr>
              <w:t> </w:t>
            </w:r>
          </w:p>
          <w:p w14:paraId="60DDAC2B" w14:textId="77777777" w:rsidR="0004264B" w:rsidRDefault="0004264B" w:rsidP="0004264B">
            <w:pPr>
              <w:pStyle w:val="paragraph"/>
              <w:numPr>
                <w:ilvl w:val="0"/>
                <w:numId w:val="43"/>
              </w:numPr>
              <w:spacing w:before="240" w:beforeAutospacing="0" w:after="0" w:afterAutospacing="0"/>
              <w:textAlignment w:val="baseline"/>
              <w:rPr>
                <w:sz w:val="20"/>
                <w:szCs w:val="20"/>
              </w:rPr>
            </w:pPr>
            <w:r>
              <w:rPr>
                <w:rStyle w:val="normaltextrun"/>
                <w:color w:val="0070C0"/>
                <w:sz w:val="20"/>
                <w:szCs w:val="20"/>
              </w:rPr>
              <w:t>Proposal 4: RAN4 follow RAN1 defined procedures for TCI state pools</w:t>
            </w:r>
            <w:r>
              <w:rPr>
                <w:rStyle w:val="eop"/>
                <w:color w:val="0070C0"/>
                <w:sz w:val="20"/>
                <w:szCs w:val="20"/>
              </w:rPr>
              <w:t> </w:t>
            </w:r>
          </w:p>
          <w:p w14:paraId="3322DF37" w14:textId="77777777" w:rsidR="0004264B" w:rsidRDefault="0004264B" w:rsidP="0004264B">
            <w:pPr>
              <w:pStyle w:val="paragraph"/>
              <w:numPr>
                <w:ilvl w:val="0"/>
                <w:numId w:val="43"/>
              </w:numPr>
              <w:spacing w:before="240" w:beforeAutospacing="0" w:after="0" w:afterAutospacing="0"/>
              <w:textAlignment w:val="baseline"/>
              <w:rPr>
                <w:sz w:val="20"/>
                <w:szCs w:val="20"/>
              </w:rPr>
            </w:pPr>
            <w:r>
              <w:rPr>
                <w:rStyle w:val="normaltextrun"/>
                <w:color w:val="0070C0"/>
                <w:sz w:val="20"/>
                <w:szCs w:val="20"/>
              </w:rPr>
              <w:t>Proposal 5: RAN4 follow RAN1 defined procedures for active TCI state list update and R17 defined requirements.</w:t>
            </w:r>
            <w:r>
              <w:rPr>
                <w:rStyle w:val="eop"/>
                <w:color w:val="0070C0"/>
                <w:sz w:val="20"/>
                <w:szCs w:val="20"/>
              </w:rPr>
              <w:t> </w:t>
            </w:r>
          </w:p>
          <w:p w14:paraId="5BDA028B" w14:textId="77777777" w:rsidR="0004264B" w:rsidRDefault="0004264B" w:rsidP="00952A81"/>
        </w:tc>
      </w:tr>
    </w:tbl>
    <w:p w14:paraId="480FDA66" w14:textId="26CACE28" w:rsidR="00DB707A" w:rsidRDefault="00DB707A" w:rsidP="008E5B14">
      <w:pPr>
        <w:pStyle w:val="Caption"/>
      </w:pPr>
    </w:p>
    <w:p w14:paraId="092771B5" w14:textId="72BE8CA0" w:rsidR="00887983" w:rsidRDefault="00A57DB3" w:rsidP="00296387">
      <w:pPr>
        <w:rPr>
          <w:lang w:eastAsia="zh-CN"/>
        </w:rPr>
      </w:pPr>
      <w:r>
        <w:t xml:space="preserve">The existing </w:t>
      </w:r>
      <w:r w:rsidR="00FF4948">
        <w:t>a</w:t>
      </w:r>
      <w:r w:rsidR="007D5414" w:rsidRPr="009C5807">
        <w:t>ctive TCI state list update delay</w:t>
      </w:r>
      <w:r w:rsidR="006467EE">
        <w:t xml:space="preserve"> requirements</w:t>
      </w:r>
      <w:r w:rsidR="001B5A80">
        <w:t xml:space="preserve"> where the MAC CE </w:t>
      </w:r>
      <w:r w:rsidR="00C96A88">
        <w:t xml:space="preserve">indication </w:t>
      </w:r>
      <w:r w:rsidR="00301A88">
        <w:t>for</w:t>
      </w:r>
      <w:r w:rsidR="00F534D9">
        <w:t xml:space="preserve"> updati</w:t>
      </w:r>
      <w:r w:rsidR="00E56294">
        <w:t>ng</w:t>
      </w:r>
      <w:r w:rsidR="00F534D9">
        <w:t xml:space="preserve"> </w:t>
      </w:r>
      <w:r w:rsidR="00307EAF">
        <w:t xml:space="preserve">active TCI state list </w:t>
      </w:r>
      <w:r w:rsidR="00D31CE3">
        <w:t>contains a single TCI state</w:t>
      </w:r>
      <w:r w:rsidR="006A1DD9">
        <w:t xml:space="preserve"> </w:t>
      </w:r>
      <w:r w:rsidR="006467EE">
        <w:t>consider</w:t>
      </w:r>
      <w:r w:rsidR="006A1DD9">
        <w:t>s</w:t>
      </w:r>
      <w:r w:rsidR="006467EE">
        <w:t xml:space="preserve"> the </w:t>
      </w:r>
      <w:r w:rsidR="00035979" w:rsidRPr="009C5807">
        <w:rPr>
          <w:lang w:eastAsia="zh-CN"/>
        </w:rPr>
        <w:t>time to first SSB transmission</w:t>
      </w:r>
      <w:r w:rsidR="00035979">
        <w:rPr>
          <w:lang w:eastAsia="zh-CN"/>
        </w:rPr>
        <w:t xml:space="preserve"> after </w:t>
      </w:r>
      <w:r w:rsidR="00035979" w:rsidRPr="009C5807">
        <w:rPr>
          <w:lang w:eastAsia="zh-CN"/>
        </w:rPr>
        <w:t>MAC CE command is decoded by the UE</w:t>
      </w:r>
      <w:r w:rsidR="007D3646">
        <w:rPr>
          <w:lang w:eastAsia="zh-CN"/>
        </w:rPr>
        <w:t xml:space="preserve"> (</w:t>
      </w:r>
      <w:proofErr w:type="spellStart"/>
      <w:r w:rsidR="007D3646" w:rsidRPr="00DB0635">
        <w:rPr>
          <w:rFonts w:eastAsia="Malgun Gothic"/>
          <w:lang w:eastAsia="zh-CN"/>
        </w:rPr>
        <w:t>T</w:t>
      </w:r>
      <w:r w:rsidR="007D3646" w:rsidRPr="00DB0635">
        <w:rPr>
          <w:rFonts w:eastAsia="Malgun Gothic"/>
          <w:vertAlign w:val="subscript"/>
          <w:lang w:eastAsia="zh-CN"/>
        </w:rPr>
        <w:t>first</w:t>
      </w:r>
      <w:proofErr w:type="spellEnd"/>
      <w:r w:rsidR="007D3646" w:rsidRPr="00DB0635">
        <w:rPr>
          <w:rFonts w:eastAsia="Malgun Gothic"/>
          <w:vertAlign w:val="subscript"/>
          <w:lang w:eastAsia="zh-CN"/>
        </w:rPr>
        <w:t>-SSB</w:t>
      </w:r>
      <w:r w:rsidR="007D3646">
        <w:rPr>
          <w:rFonts w:eastAsia="Malgun Gothic"/>
          <w:lang w:eastAsia="zh-CN"/>
        </w:rPr>
        <w:t>)</w:t>
      </w:r>
      <w:r w:rsidR="00666E20">
        <w:rPr>
          <w:lang w:eastAsia="zh-CN"/>
        </w:rPr>
        <w:t xml:space="preserve">. </w:t>
      </w:r>
    </w:p>
    <w:tbl>
      <w:tblPr>
        <w:tblStyle w:val="TableGrid"/>
        <w:tblW w:w="0" w:type="auto"/>
        <w:tblLook w:val="04A0" w:firstRow="1" w:lastRow="0" w:firstColumn="1" w:lastColumn="0" w:noHBand="0" w:noVBand="1"/>
      </w:tblPr>
      <w:tblGrid>
        <w:gridCol w:w="9617"/>
      </w:tblGrid>
      <w:tr w:rsidR="00DB0635" w14:paraId="56D8F6E7" w14:textId="77777777" w:rsidTr="00887983">
        <w:tc>
          <w:tcPr>
            <w:tcW w:w="9617" w:type="dxa"/>
          </w:tcPr>
          <w:p w14:paraId="26FF7A11" w14:textId="77777777" w:rsidR="00265080" w:rsidRPr="00265080" w:rsidRDefault="00265080" w:rsidP="00265080">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265080">
              <w:rPr>
                <w:rFonts w:ascii="Arial" w:eastAsia="Times New Roman" w:hAnsi="Arial" w:cs="Times New Roman"/>
                <w:sz w:val="28"/>
                <w:szCs w:val="20"/>
                <w:lang w:eastAsia="en-GB"/>
              </w:rPr>
              <w:t>8.10.6</w:t>
            </w:r>
            <w:r w:rsidRPr="00265080">
              <w:rPr>
                <w:rFonts w:ascii="Arial" w:eastAsia="Times New Roman" w:hAnsi="Arial" w:cs="Times New Roman"/>
                <w:sz w:val="28"/>
                <w:szCs w:val="20"/>
                <w:lang w:eastAsia="en-GB"/>
              </w:rPr>
              <w:tab/>
              <w:t>Active TCI state list update delay</w:t>
            </w:r>
          </w:p>
          <w:p w14:paraId="31FA9CE4" w14:textId="77777777" w:rsidR="00265080" w:rsidRPr="00265080" w:rsidRDefault="00265080" w:rsidP="00265080">
            <w:pPr>
              <w:overflowPunct w:val="0"/>
              <w:autoSpaceDE w:val="0"/>
              <w:autoSpaceDN w:val="0"/>
              <w:adjustRightInd w:val="0"/>
              <w:spacing w:after="180"/>
              <w:textAlignment w:val="baseline"/>
              <w:rPr>
                <w:rFonts w:eastAsia="Malgun Gothic" w:cs="Times New Roman"/>
                <w:szCs w:val="20"/>
                <w:lang w:eastAsia="zh-CN"/>
              </w:rPr>
            </w:pPr>
            <w:r w:rsidRPr="00265080">
              <w:rPr>
                <w:rFonts w:eastAsia="Malgun Gothic" w:cs="Times New Roman"/>
                <w:szCs w:val="20"/>
                <w:lang w:eastAsia="zh-CN"/>
              </w:rPr>
              <w:t>If the target TCI state is known, upon</w:t>
            </w:r>
            <w:r w:rsidRPr="00265080">
              <w:rPr>
                <w:rFonts w:eastAsia="Times New Roman" w:cs="Times New Roman"/>
                <w:szCs w:val="20"/>
                <w:lang w:eastAsia="zh-CN"/>
              </w:rPr>
              <w:t xml:space="preserve"> receiv</w:t>
            </w:r>
            <w:r w:rsidRPr="00265080">
              <w:rPr>
                <w:rFonts w:eastAsia="Malgun Gothic" w:cs="Times New Roman"/>
                <w:szCs w:val="20"/>
                <w:lang w:eastAsia="zh-CN"/>
              </w:rPr>
              <w:t>ing PDSCH carrying</w:t>
            </w:r>
            <w:r w:rsidRPr="00265080">
              <w:rPr>
                <w:rFonts w:eastAsia="Times New Roman" w:cs="Times New Roman"/>
                <w:szCs w:val="20"/>
                <w:lang w:eastAsia="zh-CN"/>
              </w:rPr>
              <w:t xml:space="preserve"> </w:t>
            </w:r>
            <w:r w:rsidRPr="00265080">
              <w:rPr>
                <w:rFonts w:eastAsia="Malgun Gothic" w:cs="Times New Roman"/>
                <w:szCs w:val="20"/>
                <w:lang w:eastAsia="zh-CN"/>
              </w:rPr>
              <w:t>MAC-CE active TCI state list update at slot n</w:t>
            </w:r>
            <w:r w:rsidRPr="00265080">
              <w:rPr>
                <w:rFonts w:eastAsia="Times New Roman" w:cs="Times New Roman"/>
                <w:szCs w:val="20"/>
                <w:lang w:eastAsia="zh-CN"/>
              </w:rPr>
              <w:t xml:space="preserve">, UE shall be able to receive PDCCH to schedule PDSCH with the new target TCI state </w:t>
            </w:r>
            <w:r w:rsidRPr="00265080">
              <w:rPr>
                <w:rFonts w:eastAsia="Malgun Gothic" w:cs="Times New Roman"/>
                <w:szCs w:val="20"/>
                <w:lang w:eastAsia="zh-CN"/>
              </w:rPr>
              <w:t>at the first slot that is after</w:t>
            </w:r>
            <w:r w:rsidRPr="00265080">
              <w:rPr>
                <w:rFonts w:eastAsia="Times New Roman" w:cs="Times New Roman"/>
                <w:szCs w:val="20"/>
                <w:lang w:eastAsia="zh-CN"/>
              </w:rPr>
              <w:t xml:space="preserve"> n+</w:t>
            </w:r>
            <w:r w:rsidRPr="00265080">
              <w:rPr>
                <w:rFonts w:eastAsia="Malgun Gothic" w:cs="Times New Roman"/>
                <w:szCs w:val="20"/>
                <w:lang w:val="en-GB" w:eastAsia="zh-CN"/>
              </w:rPr>
              <w:t xml:space="preserve"> T</w:t>
            </w:r>
            <w:r w:rsidRPr="00265080">
              <w:rPr>
                <w:rFonts w:eastAsia="Malgun Gothic" w:cs="Times New Roman"/>
                <w:szCs w:val="20"/>
                <w:vertAlign w:val="subscript"/>
                <w:lang w:val="en-GB" w:eastAsia="zh-CN"/>
              </w:rPr>
              <w:t>HARQ</w:t>
            </w:r>
            <w:r w:rsidRPr="00265080">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eastAsia="en-GB"/>
                    </w:rPr>
                  </m:ctrlPr>
                </m:sSubSupPr>
                <m:e>
                  <m:r>
                    <m:rPr>
                      <m:sty m:val="p"/>
                    </m:rPr>
                    <w:rPr>
                      <w:rFonts w:ascii="Cambria Math" w:eastAsia="Times New Roman" w:hAnsi="Cambria Math" w:cs="Times New Roman"/>
                      <w:szCs w:val="20"/>
                      <w:lang w:val="en-GB" w:eastAsia="en-GB"/>
                    </w:rPr>
                    <m:t>3N</m:t>
                  </m:r>
                </m:e>
                <m:sub>
                  <m:r>
                    <m:rPr>
                      <m:sty m:val="p"/>
                    </m:rPr>
                    <w:rPr>
                      <w:rFonts w:ascii="Cambria Math" w:eastAsia="Times New Roman" w:hAnsi="Cambria Math" w:cs="Times New Roman"/>
                      <w:szCs w:val="20"/>
                      <w:lang w:val="en-GB" w:eastAsia="en-GB"/>
                    </w:rPr>
                    <m:t>slot</m:t>
                  </m:r>
                </m:sub>
                <m:sup>
                  <m:r>
                    <m:rPr>
                      <m:sty m:val="p"/>
                    </m:rPr>
                    <w:rPr>
                      <w:rFonts w:ascii="Cambria Math" w:eastAsia="Times New Roman" w:hAnsi="Cambria Math" w:cs="Times New Roman"/>
                      <w:szCs w:val="20"/>
                      <w:lang w:val="en-GB" w:eastAsia="en-GB"/>
                    </w:rPr>
                    <m:t>subframe,µ</m:t>
                  </m:r>
                </m:sup>
              </m:sSubSup>
            </m:oMath>
            <w:r w:rsidRPr="00265080">
              <w:rPr>
                <w:rFonts w:eastAsia="Malgun Gothic" w:cs="Times New Roman"/>
                <w:szCs w:val="20"/>
                <w:lang w:eastAsia="zh-CN"/>
              </w:rPr>
              <w:t xml:space="preserve"> +</w:t>
            </w:r>
            <w:proofErr w:type="spellStart"/>
            <w:r w:rsidRPr="00265080">
              <w:rPr>
                <w:rFonts w:eastAsia="Malgun Gothic" w:cs="Times New Roman"/>
                <w:szCs w:val="20"/>
                <w:lang w:eastAsia="zh-CN"/>
              </w:rPr>
              <w:t>TO</w:t>
            </w:r>
            <w:r w:rsidRPr="00265080">
              <w:rPr>
                <w:rFonts w:eastAsia="Malgun Gothic" w:cs="Times New Roman"/>
                <w:szCs w:val="20"/>
                <w:vertAlign w:val="subscript"/>
                <w:lang w:eastAsia="zh-CN"/>
              </w:rPr>
              <w:t>k</w:t>
            </w:r>
            <w:proofErr w:type="spellEnd"/>
            <w:r w:rsidRPr="00265080">
              <w:rPr>
                <w:rFonts w:eastAsia="Malgun Gothic" w:cs="Times New Roman"/>
                <w:szCs w:val="20"/>
                <w:lang w:eastAsia="zh-CN"/>
              </w:rPr>
              <w:t>*(</w:t>
            </w:r>
            <w:proofErr w:type="spellStart"/>
            <w:r w:rsidRPr="00DB0635">
              <w:rPr>
                <w:rFonts w:eastAsia="Malgun Gothic" w:cs="Times New Roman"/>
                <w:b/>
                <w:bCs/>
                <w:szCs w:val="20"/>
                <w:lang w:eastAsia="zh-CN"/>
              </w:rPr>
              <w:t>T</w:t>
            </w:r>
            <w:r w:rsidRPr="00DB0635">
              <w:rPr>
                <w:rFonts w:eastAsia="Malgun Gothic" w:cs="Times New Roman"/>
                <w:b/>
                <w:bCs/>
                <w:szCs w:val="20"/>
                <w:vertAlign w:val="subscript"/>
                <w:lang w:eastAsia="zh-CN"/>
              </w:rPr>
              <w:t>first</w:t>
            </w:r>
            <w:proofErr w:type="spellEnd"/>
            <w:r w:rsidRPr="00DB0635">
              <w:rPr>
                <w:rFonts w:eastAsia="Malgun Gothic" w:cs="Times New Roman"/>
                <w:b/>
                <w:bCs/>
                <w:szCs w:val="20"/>
                <w:vertAlign w:val="subscript"/>
                <w:lang w:eastAsia="zh-CN"/>
              </w:rPr>
              <w:t>-SSB</w:t>
            </w:r>
            <w:r w:rsidRPr="00265080">
              <w:rPr>
                <w:rFonts w:eastAsia="Malgun Gothic" w:cs="Times New Roman"/>
                <w:szCs w:val="20"/>
                <w:vertAlign w:val="subscript"/>
                <w:lang w:eastAsia="zh-CN"/>
              </w:rPr>
              <w:t xml:space="preserve"> </w:t>
            </w:r>
            <w:r w:rsidRPr="00265080">
              <w:rPr>
                <w:rFonts w:eastAsia="Malgun Gothic" w:cs="Times New Roman"/>
                <w:szCs w:val="20"/>
                <w:lang w:eastAsia="zh-CN"/>
              </w:rPr>
              <w:t>+ T</w:t>
            </w:r>
            <w:r w:rsidRPr="00265080">
              <w:rPr>
                <w:rFonts w:eastAsia="Malgun Gothic" w:cs="Times New Roman"/>
                <w:szCs w:val="20"/>
                <w:vertAlign w:val="subscript"/>
                <w:lang w:eastAsia="zh-CN"/>
              </w:rPr>
              <w:t>SSB-proc</w:t>
            </w:r>
            <w:r w:rsidRPr="00265080">
              <w:rPr>
                <w:rFonts w:eastAsia="Malgun Gothic" w:cs="Times New Roman"/>
                <w:szCs w:val="20"/>
                <w:lang w:eastAsia="zh-CN"/>
              </w:rPr>
              <w:t>) /</w:t>
            </w:r>
            <w:r w:rsidRPr="00265080">
              <w:rPr>
                <w:rFonts w:eastAsia="Times New Roman" w:cs="Times New Roman"/>
                <w:i/>
                <w:szCs w:val="20"/>
                <w:lang w:eastAsia="zh-CN"/>
              </w:rPr>
              <w:t xml:space="preserve"> NR slot length</w:t>
            </w:r>
            <w:r w:rsidRPr="00265080">
              <w:rPr>
                <w:rFonts w:eastAsia="Times New Roman" w:cs="Times New Roman"/>
                <w:szCs w:val="20"/>
                <w:lang w:eastAsia="zh-CN"/>
              </w:rPr>
              <w:t xml:space="preserve">. Where </w:t>
            </w:r>
            <w:r w:rsidRPr="00265080">
              <w:rPr>
                <w:rFonts w:eastAsia="Malgun Gothic" w:cs="Times New Roman"/>
                <w:szCs w:val="20"/>
                <w:lang w:val="en-GB" w:eastAsia="zh-CN"/>
              </w:rPr>
              <w:t>T</w:t>
            </w:r>
            <w:r w:rsidRPr="00265080">
              <w:rPr>
                <w:rFonts w:eastAsia="Malgun Gothic" w:cs="Times New Roman"/>
                <w:szCs w:val="20"/>
                <w:vertAlign w:val="subscript"/>
                <w:lang w:val="en-GB" w:eastAsia="zh-CN"/>
              </w:rPr>
              <w:t>HARQ</w:t>
            </w:r>
            <w:r w:rsidRPr="00265080">
              <w:rPr>
                <w:rFonts w:eastAsia="Times New Roman" w:cs="Times New Roman"/>
                <w:szCs w:val="20"/>
                <w:lang w:eastAsia="zh-CN"/>
              </w:rPr>
              <w:t xml:space="preserve">, </w:t>
            </w:r>
            <w:proofErr w:type="spellStart"/>
            <w:r w:rsidRPr="00265080">
              <w:rPr>
                <w:rFonts w:eastAsia="Malgun Gothic" w:cs="Times New Roman"/>
                <w:szCs w:val="20"/>
                <w:lang w:eastAsia="zh-CN"/>
              </w:rPr>
              <w:t>T</w:t>
            </w:r>
            <w:r w:rsidRPr="00265080">
              <w:rPr>
                <w:rFonts w:eastAsia="Malgun Gothic" w:cs="Times New Roman"/>
                <w:szCs w:val="20"/>
                <w:vertAlign w:val="subscript"/>
                <w:lang w:eastAsia="zh-CN"/>
              </w:rPr>
              <w:t>first</w:t>
            </w:r>
            <w:proofErr w:type="spellEnd"/>
            <w:r w:rsidRPr="00265080">
              <w:rPr>
                <w:rFonts w:eastAsia="Malgun Gothic" w:cs="Times New Roman"/>
                <w:szCs w:val="20"/>
                <w:vertAlign w:val="subscript"/>
                <w:lang w:eastAsia="zh-CN"/>
              </w:rPr>
              <w:t>-SSB,</w:t>
            </w:r>
            <w:r w:rsidRPr="00265080">
              <w:rPr>
                <w:rFonts w:eastAsia="Malgun Gothic" w:cs="Times New Roman"/>
                <w:szCs w:val="20"/>
                <w:lang w:eastAsia="zh-CN"/>
              </w:rPr>
              <w:t xml:space="preserve"> T</w:t>
            </w:r>
            <w:r w:rsidRPr="00265080">
              <w:rPr>
                <w:rFonts w:eastAsia="Malgun Gothic" w:cs="Times New Roman"/>
                <w:szCs w:val="20"/>
                <w:vertAlign w:val="subscript"/>
                <w:lang w:eastAsia="zh-CN"/>
              </w:rPr>
              <w:t xml:space="preserve">SSB-proc </w:t>
            </w:r>
            <w:r w:rsidRPr="00265080">
              <w:rPr>
                <w:rFonts w:eastAsia="Malgun Gothic" w:cs="Times New Roman"/>
                <w:szCs w:val="20"/>
                <w:lang w:eastAsia="zh-CN"/>
              </w:rPr>
              <w:t xml:space="preserve">and </w:t>
            </w:r>
            <w:proofErr w:type="spellStart"/>
            <w:r w:rsidRPr="00265080">
              <w:rPr>
                <w:rFonts w:eastAsia="Malgun Gothic" w:cs="Times New Roman"/>
                <w:szCs w:val="20"/>
                <w:lang w:eastAsia="zh-CN"/>
              </w:rPr>
              <w:t>TO</w:t>
            </w:r>
            <w:r w:rsidRPr="00265080">
              <w:rPr>
                <w:rFonts w:eastAsia="Malgun Gothic" w:cs="Times New Roman"/>
                <w:szCs w:val="20"/>
                <w:vertAlign w:val="subscript"/>
                <w:lang w:eastAsia="zh-CN"/>
              </w:rPr>
              <w:t>k</w:t>
            </w:r>
            <w:proofErr w:type="spellEnd"/>
            <w:r w:rsidRPr="00265080">
              <w:rPr>
                <w:rFonts w:eastAsia="Malgun Gothic" w:cs="Times New Roman"/>
                <w:szCs w:val="20"/>
                <w:lang w:eastAsia="zh-CN"/>
              </w:rPr>
              <w:t xml:space="preserve"> are defined in </w:t>
            </w:r>
            <w:r w:rsidRPr="00265080">
              <w:rPr>
                <w:rFonts w:eastAsia="Times New Roman" w:cs="Times New Roman"/>
                <w:szCs w:val="20"/>
                <w:lang w:eastAsia="ko-KR"/>
              </w:rPr>
              <w:t>clause</w:t>
            </w:r>
            <w:r w:rsidRPr="00265080">
              <w:rPr>
                <w:rFonts w:eastAsia="Malgun Gothic" w:cs="Times New Roman"/>
                <w:szCs w:val="20"/>
                <w:lang w:eastAsia="zh-CN"/>
              </w:rPr>
              <w:t xml:space="preserve"> 8.10.3.</w:t>
            </w:r>
          </w:p>
          <w:p w14:paraId="58C97C5E" w14:textId="6D008250" w:rsidR="00887983" w:rsidRDefault="00887983" w:rsidP="00296387">
            <w:pPr>
              <w:rPr>
                <w:lang w:eastAsia="zh-CN"/>
              </w:rPr>
            </w:pPr>
            <w:r>
              <w:rPr>
                <w:lang w:eastAsia="zh-CN"/>
              </w:rPr>
              <w:t>--</w:t>
            </w:r>
          </w:p>
          <w:p w14:paraId="48092EFE" w14:textId="77777777" w:rsidR="00150F50" w:rsidRDefault="00150F50" w:rsidP="00296387">
            <w:pPr>
              <w:rPr>
                <w:lang w:eastAsia="zh-CN"/>
              </w:rPr>
            </w:pPr>
          </w:p>
          <w:p w14:paraId="391EBC1F" w14:textId="77777777" w:rsidR="00887983" w:rsidRPr="009C5807" w:rsidRDefault="00887983" w:rsidP="00887983">
            <w:pPr>
              <w:pStyle w:val="B1"/>
              <w:rPr>
                <w:lang w:val="en-US" w:eastAsia="zh-CN"/>
              </w:rPr>
            </w:pPr>
            <w:r w:rsidRPr="009C5807">
              <w:rPr>
                <w:lang w:eastAsia="zh-CN"/>
              </w:rPr>
              <w:t>-</w:t>
            </w:r>
            <w:r w:rsidRPr="009C5807">
              <w:rPr>
                <w:lang w:eastAsia="zh-CN"/>
              </w:rPr>
              <w:tab/>
            </w:r>
            <w:proofErr w:type="spellStart"/>
            <w:r w:rsidRPr="00DB0635">
              <w:rPr>
                <w:b/>
                <w:lang w:val="en-US" w:eastAsia="zh-CN"/>
              </w:rPr>
              <w:t>T</w:t>
            </w:r>
            <w:r w:rsidRPr="00DB0635">
              <w:rPr>
                <w:b/>
                <w:vertAlign w:val="subscript"/>
                <w:lang w:val="en-US" w:eastAsia="zh-CN"/>
              </w:rPr>
              <w:t>first</w:t>
            </w:r>
            <w:proofErr w:type="spellEnd"/>
            <w:r w:rsidRPr="00DB0635">
              <w:rPr>
                <w:b/>
                <w:vertAlign w:val="subscript"/>
                <w:lang w:val="en-US" w:eastAsia="zh-CN"/>
              </w:rPr>
              <w:t>-SSB</w:t>
            </w:r>
            <w:r w:rsidRPr="009C5807">
              <w:rPr>
                <w:vertAlign w:val="subscript"/>
                <w:lang w:val="en-US" w:eastAsia="zh-CN"/>
              </w:rPr>
              <w:t xml:space="preserve"> </w:t>
            </w:r>
            <w:r w:rsidRPr="009C5807">
              <w:rPr>
                <w:lang w:val="en-US" w:eastAsia="zh-CN"/>
              </w:rPr>
              <w:t>is time to first SSB transmission after L1-RSRP measurement when TCI state switching involves QCL-</w:t>
            </w:r>
            <w:proofErr w:type="spellStart"/>
            <w:proofErr w:type="gramStart"/>
            <w:r w:rsidRPr="009C5807">
              <w:rPr>
                <w:lang w:val="en-US" w:eastAsia="zh-CN"/>
              </w:rPr>
              <w:t>TypeD</w:t>
            </w:r>
            <w:proofErr w:type="spellEnd"/>
            <w:r w:rsidRPr="009C5807">
              <w:rPr>
                <w:lang w:val="en-US" w:eastAsia="zh-CN"/>
              </w:rPr>
              <w:t>;</w:t>
            </w:r>
            <w:proofErr w:type="gramEnd"/>
            <w:r w:rsidRPr="009C5807">
              <w:rPr>
                <w:lang w:val="en-US" w:eastAsia="zh-CN"/>
              </w:rPr>
              <w:t xml:space="preserve"> </w:t>
            </w:r>
          </w:p>
          <w:p w14:paraId="6B23D105" w14:textId="77777777" w:rsidR="00887983" w:rsidRPr="009C5807" w:rsidRDefault="00887983" w:rsidP="00887983">
            <w:pPr>
              <w:pStyle w:val="B1"/>
              <w:rPr>
                <w:lang w:val="en-US" w:eastAsia="zh-CN"/>
              </w:rPr>
            </w:pPr>
            <w:r w:rsidRPr="009C5807">
              <w:rPr>
                <w:lang w:eastAsia="zh-CN"/>
              </w:rPr>
              <w:t>-</w:t>
            </w:r>
            <w:r w:rsidRPr="009C5807">
              <w:rPr>
                <w:lang w:eastAsia="zh-CN"/>
              </w:rPr>
              <w:tab/>
            </w:r>
            <w:proofErr w:type="spellStart"/>
            <w:r w:rsidRPr="00DB0635">
              <w:rPr>
                <w:b/>
                <w:lang w:val="en-US" w:eastAsia="zh-CN"/>
              </w:rPr>
              <w:t>T</w:t>
            </w:r>
            <w:r w:rsidRPr="00DB0635">
              <w:rPr>
                <w:b/>
                <w:vertAlign w:val="subscript"/>
                <w:lang w:val="en-US" w:eastAsia="zh-CN"/>
              </w:rPr>
              <w:t>first</w:t>
            </w:r>
            <w:proofErr w:type="spellEnd"/>
            <w:r w:rsidRPr="00DB0635">
              <w:rPr>
                <w:b/>
                <w:vertAlign w:val="subscript"/>
                <w:lang w:val="en-US" w:eastAsia="zh-CN"/>
              </w:rPr>
              <w:t>-SSB</w:t>
            </w:r>
            <w:r w:rsidRPr="009C5807">
              <w:rPr>
                <w:vertAlign w:val="subscript"/>
                <w:lang w:val="en-US" w:eastAsia="zh-CN"/>
              </w:rPr>
              <w:t xml:space="preserve"> </w:t>
            </w:r>
            <w:r w:rsidRPr="009C5807">
              <w:rPr>
                <w:lang w:val="en-US" w:eastAsia="zh-CN"/>
              </w:rPr>
              <w:t xml:space="preserve">is time to first SSB transmission after MAC CE command is decoded by the UE for other QCL </w:t>
            </w:r>
            <w:proofErr w:type="gramStart"/>
            <w:r w:rsidRPr="009C5807">
              <w:rPr>
                <w:lang w:val="en-US" w:eastAsia="zh-CN"/>
              </w:rPr>
              <w:t>types;</w:t>
            </w:r>
            <w:proofErr w:type="gramEnd"/>
          </w:p>
          <w:p w14:paraId="6427D389" w14:textId="6203B6DA" w:rsidR="00887983" w:rsidRDefault="00887983" w:rsidP="00296387">
            <w:pPr>
              <w:rPr>
                <w:lang w:eastAsia="zh-CN"/>
              </w:rPr>
            </w:pPr>
          </w:p>
        </w:tc>
      </w:tr>
    </w:tbl>
    <w:p w14:paraId="7E4154BE" w14:textId="77777777" w:rsidR="00887983" w:rsidRDefault="00887983" w:rsidP="00296387">
      <w:pPr>
        <w:rPr>
          <w:lang w:eastAsia="zh-CN"/>
        </w:rPr>
      </w:pPr>
    </w:p>
    <w:p w14:paraId="5D2995EC" w14:textId="77777777" w:rsidR="00C34476" w:rsidRDefault="0052476C" w:rsidP="00296387">
      <w:pPr>
        <w:rPr>
          <w:lang w:eastAsia="zh-CN"/>
        </w:rPr>
      </w:pPr>
      <w:r>
        <w:rPr>
          <w:lang w:eastAsia="zh-CN"/>
        </w:rPr>
        <w:t xml:space="preserve">In m-TRP </w:t>
      </w:r>
      <w:r w:rsidR="006F64C6">
        <w:rPr>
          <w:lang w:eastAsia="zh-CN"/>
        </w:rPr>
        <w:t xml:space="preserve">deployments, </w:t>
      </w:r>
      <w:r w:rsidR="00C67309">
        <w:rPr>
          <w:lang w:eastAsia="zh-CN"/>
        </w:rPr>
        <w:t xml:space="preserve">when the MAC-CE </w:t>
      </w:r>
      <w:r w:rsidR="00973F0E">
        <w:rPr>
          <w:lang w:eastAsia="zh-CN"/>
        </w:rPr>
        <w:t xml:space="preserve">contains dual TCI states, we propose to </w:t>
      </w:r>
      <w:r w:rsidR="005B349A">
        <w:rPr>
          <w:lang w:eastAsia="zh-CN"/>
        </w:rPr>
        <w:t>consider the first SSB for each of the TCI states.</w:t>
      </w:r>
    </w:p>
    <w:p w14:paraId="4097BD47" w14:textId="1F69611E" w:rsidR="00A57DB3" w:rsidRDefault="00C34476" w:rsidP="00C34476">
      <w:pPr>
        <w:jc w:val="center"/>
        <w:rPr>
          <w:lang w:eastAsia="zh-CN"/>
        </w:rPr>
      </w:pPr>
      <w:r>
        <w:rPr>
          <w:noProof/>
        </w:rPr>
        <w:drawing>
          <wp:inline distT="0" distB="0" distL="0" distR="0" wp14:anchorId="48568E08" wp14:editId="3B93A658">
            <wp:extent cx="3020467" cy="1244348"/>
            <wp:effectExtent l="19050" t="19050" r="2794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26875" cy="1246988"/>
                    </a:xfrm>
                    <a:prstGeom prst="rect">
                      <a:avLst/>
                    </a:prstGeom>
                    <a:ln>
                      <a:solidFill>
                        <a:schemeClr val="tx1"/>
                      </a:solidFill>
                    </a:ln>
                  </pic:spPr>
                </pic:pic>
              </a:graphicData>
            </a:graphic>
          </wp:inline>
        </w:drawing>
      </w:r>
    </w:p>
    <w:p w14:paraId="553E2FFD" w14:textId="0CFF8E4D" w:rsidR="00953793" w:rsidRDefault="00953793" w:rsidP="00D43A41">
      <w:pPr>
        <w:pStyle w:val="Caption"/>
        <w:rPr>
          <w:lang w:eastAsia="zh-CN"/>
        </w:rPr>
      </w:pPr>
      <w:r>
        <w:t xml:space="preserve">Figure </w:t>
      </w:r>
      <w:fldSimple w:instr=" SEQ Figure \* ARABIC ">
        <w:r>
          <w:rPr>
            <w:noProof/>
          </w:rPr>
          <w:t>6</w:t>
        </w:r>
      </w:fldSimple>
      <w:r>
        <w:t xml:space="preserve">: </w:t>
      </w:r>
      <w:r w:rsidR="0025101C">
        <w:t>Active TCI state list for dual TCI</w:t>
      </w:r>
    </w:p>
    <w:p w14:paraId="30E34D2B" w14:textId="1B515ABD" w:rsidR="00B15ECD" w:rsidRDefault="005558D6" w:rsidP="009C42E1">
      <w:pPr>
        <w:pStyle w:val="RAN4proposal"/>
      </w:pPr>
      <w:bookmarkStart w:id="34" w:name="_Toc127557118"/>
      <w:r>
        <w:t>I</w:t>
      </w:r>
      <w:r w:rsidR="00B15ECD">
        <w:t xml:space="preserve">f a pair </w:t>
      </w:r>
      <w:r w:rsidRPr="002135F4">
        <w:t>of TCI states is activated by MAC CE command, consider the first SSB of both TCI states for activation time</w:t>
      </w:r>
      <w:r>
        <w:t xml:space="preserve"> while arriving at the active TCI state list </w:t>
      </w:r>
      <w:r w:rsidR="009C42E1">
        <w:t>update delay requirements for dual TCI states</w:t>
      </w:r>
      <w:bookmarkEnd w:id="34"/>
    </w:p>
    <w:p w14:paraId="7D282C74" w14:textId="77777777" w:rsidR="009E64EF" w:rsidRDefault="009E64EF" w:rsidP="0060543D"/>
    <w:p w14:paraId="3D18E7D0" w14:textId="77777777" w:rsidR="00CD7492" w:rsidRPr="00296387" w:rsidRDefault="00CD7492" w:rsidP="00296387">
      <w:pPr>
        <w:pStyle w:val="RAN4H1"/>
        <w:rPr>
          <w:lang w:val="en-US"/>
        </w:rPr>
      </w:pPr>
      <w:bookmarkStart w:id="35" w:name="_Toc116995848"/>
      <w:r w:rsidRPr="00DB707A">
        <w:t>Conclusion</w:t>
      </w:r>
      <w:bookmarkEnd w:id="35"/>
    </w:p>
    <w:p w14:paraId="7A873A85"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72CFED3B" w14:textId="4E1F8C76" w:rsidR="002B4432" w:rsidRDefault="00A4355E">
      <w:pPr>
        <w:pStyle w:val="TOC4"/>
        <w:rPr>
          <w:rFonts w:asciiTheme="minorHAnsi" w:eastAsiaTheme="minorEastAsia" w:hAnsiTheme="minorHAnsi"/>
          <w:sz w:val="22"/>
        </w:rPr>
      </w:pPr>
      <w:r>
        <w:rPr>
          <w:b/>
          <w:i/>
        </w:rPr>
        <w:fldChar w:fldCharType="begin"/>
      </w:r>
      <w:r>
        <w:rPr>
          <w:i/>
          <w:iCs/>
          <w:noProof/>
        </w:rPr>
        <w:instrText xml:space="preserve"> TOC \n \h \z \t "RAN4 proposal,5,RAN4 observation,4" </w:instrText>
      </w:r>
      <w:r>
        <w:rPr>
          <w:b/>
          <w:i/>
        </w:rPr>
        <w:fldChar w:fldCharType="separate"/>
      </w:r>
      <w:hyperlink w:anchor="_Toc127557096" w:history="1">
        <w:r w:rsidR="002B4432" w:rsidRPr="002375CB">
          <w:rPr>
            <w:rStyle w:val="Hyperlink"/>
            <w:b/>
            <w:bCs/>
            <w:noProof/>
          </w:rPr>
          <w:t>Observation 1:</w:t>
        </w:r>
        <w:r w:rsidR="002B4432" w:rsidRPr="002375CB">
          <w:rPr>
            <w:rStyle w:val="Hyperlink"/>
            <w:noProof/>
          </w:rPr>
          <w:t xml:space="preserve"> In a dual TCI to single TCI state switch scenario for PDSCH, the UE will still receive one PDSCH. This is similar to the legacy single TRP scenario.</w:t>
        </w:r>
      </w:hyperlink>
    </w:p>
    <w:p w14:paraId="2DCCD8A9" w14:textId="11067726" w:rsidR="002B4432" w:rsidRDefault="002E7C64">
      <w:pPr>
        <w:pStyle w:val="TOC4"/>
        <w:rPr>
          <w:rFonts w:asciiTheme="minorHAnsi" w:eastAsiaTheme="minorEastAsia" w:hAnsiTheme="minorHAnsi"/>
          <w:sz w:val="22"/>
        </w:rPr>
      </w:pPr>
      <w:hyperlink w:anchor="_Toc127557097" w:history="1">
        <w:r w:rsidR="002B4432" w:rsidRPr="002375CB">
          <w:rPr>
            <w:rStyle w:val="Hyperlink"/>
            <w:b/>
            <w:bCs/>
            <w:noProof/>
          </w:rPr>
          <w:t>Observation 2:</w:t>
        </w:r>
        <w:r w:rsidR="002B4432" w:rsidRPr="002375CB">
          <w:rPr>
            <w:rStyle w:val="Hyperlink"/>
            <w:noProof/>
          </w:rPr>
          <w:t xml:space="preserve"> Existing defined requirements for RRC-based TCI state switch delay apply only when 1 TCI state is configured in RRC state list.</w:t>
        </w:r>
      </w:hyperlink>
    </w:p>
    <w:p w14:paraId="26A09859" w14:textId="1700AF5C" w:rsidR="002B4432" w:rsidRDefault="002E7C64">
      <w:pPr>
        <w:pStyle w:val="TOC5"/>
        <w:rPr>
          <w:rFonts w:asciiTheme="minorHAnsi" w:eastAsiaTheme="minorEastAsia" w:hAnsiTheme="minorHAnsi"/>
          <w:b w:val="0"/>
          <w:sz w:val="22"/>
        </w:rPr>
      </w:pPr>
      <w:hyperlink w:anchor="_Toc127557098" w:history="1">
        <w:r w:rsidR="002B4432" w:rsidRPr="002375CB">
          <w:rPr>
            <w:rStyle w:val="Hyperlink"/>
            <w:noProof/>
          </w:rPr>
          <w:t>Proposal 1: RRC based TCI state switch delay requirements need to be updated to reflect the switch from s-DCI to m-DCI where the UE will receive two target TCI states</w:t>
        </w:r>
      </w:hyperlink>
    </w:p>
    <w:p w14:paraId="7A0156B6" w14:textId="05264E64" w:rsidR="002B4432" w:rsidRDefault="002E7C64">
      <w:pPr>
        <w:pStyle w:val="TOC4"/>
        <w:rPr>
          <w:rFonts w:asciiTheme="minorHAnsi" w:eastAsiaTheme="minorEastAsia" w:hAnsiTheme="minorHAnsi"/>
          <w:sz w:val="22"/>
        </w:rPr>
      </w:pPr>
      <w:hyperlink w:anchor="_Toc127557099" w:history="1">
        <w:r w:rsidR="002B4432" w:rsidRPr="002375CB">
          <w:rPr>
            <w:rStyle w:val="Hyperlink"/>
            <w:b/>
            <w:bCs/>
            <w:noProof/>
          </w:rPr>
          <w:t>Observation 3:</w:t>
        </w:r>
        <w:r w:rsidR="002B4432" w:rsidRPr="002375CB">
          <w:rPr>
            <w:rStyle w:val="Hyperlink"/>
            <w:noProof/>
          </w:rPr>
          <w:t xml:space="preserve"> MAC CE based TCI switch in sDCI with non-SFN PDCCH scenario involves only one target TCI state.</w:t>
        </w:r>
      </w:hyperlink>
    </w:p>
    <w:p w14:paraId="20686FCB" w14:textId="17B4C0CB" w:rsidR="002B4432" w:rsidRDefault="002E7C64">
      <w:pPr>
        <w:pStyle w:val="TOC5"/>
        <w:rPr>
          <w:rFonts w:asciiTheme="minorHAnsi" w:eastAsiaTheme="minorEastAsia" w:hAnsiTheme="minorHAnsi"/>
          <w:b w:val="0"/>
          <w:sz w:val="22"/>
        </w:rPr>
      </w:pPr>
      <w:hyperlink w:anchor="_Toc127557100" w:history="1">
        <w:r w:rsidR="002B4432" w:rsidRPr="002375CB">
          <w:rPr>
            <w:rStyle w:val="Hyperlink"/>
            <w:noProof/>
          </w:rPr>
          <w:t>Proposal 2: For non-SFN based TCI indication method for PDCCH, use legacy Rel-15 TCI state switching requirements for multi Rx.</w:t>
        </w:r>
      </w:hyperlink>
    </w:p>
    <w:p w14:paraId="619572F8" w14:textId="2DED8BED" w:rsidR="002B4432" w:rsidRDefault="002E7C64">
      <w:pPr>
        <w:pStyle w:val="TOC4"/>
        <w:rPr>
          <w:rFonts w:asciiTheme="minorHAnsi" w:eastAsiaTheme="minorEastAsia" w:hAnsiTheme="minorHAnsi"/>
          <w:sz w:val="22"/>
        </w:rPr>
      </w:pPr>
      <w:hyperlink w:anchor="_Toc127557101" w:history="1">
        <w:r w:rsidR="002B4432" w:rsidRPr="002375CB">
          <w:rPr>
            <w:rStyle w:val="Hyperlink"/>
            <w:b/>
            <w:bCs/>
            <w:noProof/>
          </w:rPr>
          <w:t>Observation 4:</w:t>
        </w:r>
        <w:r w:rsidR="002B4432" w:rsidRPr="002375CB">
          <w:rPr>
            <w:rStyle w:val="Hyperlink"/>
            <w:noProof/>
          </w:rPr>
          <w:t xml:space="preserve"> When PDCCH SFN is used one MAC CE is used to indicate two TCI states used for PDCCH.</w:t>
        </w:r>
      </w:hyperlink>
    </w:p>
    <w:p w14:paraId="3D688516" w14:textId="4A4ABC0B" w:rsidR="002B4432" w:rsidRDefault="002E7C64">
      <w:pPr>
        <w:pStyle w:val="TOC5"/>
        <w:rPr>
          <w:rFonts w:asciiTheme="minorHAnsi" w:eastAsiaTheme="minorEastAsia" w:hAnsiTheme="minorHAnsi"/>
          <w:b w:val="0"/>
          <w:sz w:val="22"/>
        </w:rPr>
      </w:pPr>
      <w:hyperlink w:anchor="_Toc127557102" w:history="1">
        <w:r w:rsidR="002B4432" w:rsidRPr="002375CB">
          <w:rPr>
            <w:rStyle w:val="Hyperlink"/>
            <w:noProof/>
          </w:rPr>
          <w:t>Proposal 3: RAN4 to discuss if MAC CE based switching requirements for PDCCH SFN are to be defined for multiRx.</w:t>
        </w:r>
      </w:hyperlink>
    </w:p>
    <w:p w14:paraId="6DC67388" w14:textId="5EDB1ED9" w:rsidR="002B4432" w:rsidRDefault="002E7C64">
      <w:pPr>
        <w:pStyle w:val="TOC5"/>
        <w:rPr>
          <w:rFonts w:asciiTheme="minorHAnsi" w:eastAsiaTheme="minorEastAsia" w:hAnsiTheme="minorHAnsi"/>
          <w:b w:val="0"/>
          <w:sz w:val="22"/>
        </w:rPr>
      </w:pPr>
      <w:hyperlink w:anchor="_Toc127557103" w:history="1">
        <w:r w:rsidR="002B4432" w:rsidRPr="002375CB">
          <w:rPr>
            <w:rStyle w:val="Hyperlink"/>
            <w:noProof/>
          </w:rPr>
          <w:t>Proposal 4: RAN4 to reuse Rel-16 requirements for the case of DCI-based TCI switching for PDSCH in single DCI scenario.</w:t>
        </w:r>
      </w:hyperlink>
    </w:p>
    <w:p w14:paraId="714B20BD" w14:textId="5A588E8A" w:rsidR="002B4432" w:rsidRDefault="002E7C64">
      <w:pPr>
        <w:pStyle w:val="TOC4"/>
        <w:rPr>
          <w:rFonts w:asciiTheme="minorHAnsi" w:eastAsiaTheme="minorEastAsia" w:hAnsiTheme="minorHAnsi"/>
          <w:sz w:val="22"/>
        </w:rPr>
      </w:pPr>
      <w:hyperlink w:anchor="_Toc127557104" w:history="1">
        <w:r w:rsidR="002B4432" w:rsidRPr="002375CB">
          <w:rPr>
            <w:rStyle w:val="Hyperlink"/>
            <w:b/>
            <w:bCs/>
            <w:noProof/>
          </w:rPr>
          <w:t>Observation 5:</w:t>
        </w:r>
        <w:r w:rsidR="002B4432" w:rsidRPr="002375CB">
          <w:rPr>
            <w:rStyle w:val="Hyperlink"/>
            <w:bCs/>
            <w:noProof/>
          </w:rPr>
          <w:t xml:space="preserve"> The existing switching delays as well as known conditions for target TCI states were defined keeping in mind a single TRP deployment where the concept of s-DCI and m-DCI based operations didn’t exist. s-DCI based multi-TRP operations are suitable for ideal backhaul and this kind of operation is susceptible to delays.</w:t>
        </w:r>
      </w:hyperlink>
    </w:p>
    <w:p w14:paraId="6A33E812" w14:textId="3503B165" w:rsidR="002B4432" w:rsidRDefault="002E7C64">
      <w:pPr>
        <w:pStyle w:val="TOC5"/>
        <w:rPr>
          <w:rFonts w:asciiTheme="minorHAnsi" w:eastAsiaTheme="minorEastAsia" w:hAnsiTheme="minorHAnsi"/>
          <w:b w:val="0"/>
          <w:sz w:val="22"/>
        </w:rPr>
      </w:pPr>
      <w:hyperlink w:anchor="_Toc127557105" w:history="1">
        <w:r w:rsidR="002B4432" w:rsidRPr="002375CB">
          <w:rPr>
            <w:rStyle w:val="Hyperlink"/>
            <w:noProof/>
          </w:rPr>
          <w:t>Proposal 5: Further study if the existing requirements for target TCI state switching delays as well as known conditions can be tailored to suit s-DCI based m-TRP network deployments.</w:t>
        </w:r>
      </w:hyperlink>
    </w:p>
    <w:p w14:paraId="645AECA7" w14:textId="020AB1D1" w:rsidR="002B4432" w:rsidRDefault="002E7C64">
      <w:pPr>
        <w:pStyle w:val="TOC5"/>
        <w:rPr>
          <w:rFonts w:asciiTheme="minorHAnsi" w:eastAsiaTheme="minorEastAsia" w:hAnsiTheme="minorHAnsi"/>
          <w:b w:val="0"/>
          <w:sz w:val="22"/>
        </w:rPr>
      </w:pPr>
      <w:hyperlink w:anchor="_Toc127557106" w:history="1">
        <w:r w:rsidR="002B4432" w:rsidRPr="002375CB">
          <w:rPr>
            <w:rStyle w:val="Hyperlink"/>
            <w:noProof/>
          </w:rPr>
          <w:t>Proposal 6: For a UE operating in multi-DCI mode, TCI state switching applies per Rx chain independently, and thus TCI state switching delay requirements for single TRP mode can be reused per DCI.</w:t>
        </w:r>
      </w:hyperlink>
    </w:p>
    <w:p w14:paraId="0F35B503" w14:textId="130392E9" w:rsidR="002B4432" w:rsidRDefault="002E7C64">
      <w:pPr>
        <w:pStyle w:val="TOC4"/>
        <w:rPr>
          <w:rFonts w:asciiTheme="minorHAnsi" w:eastAsiaTheme="minorEastAsia" w:hAnsiTheme="minorHAnsi"/>
          <w:sz w:val="22"/>
        </w:rPr>
      </w:pPr>
      <w:hyperlink w:anchor="_Toc127557107" w:history="1">
        <w:r w:rsidR="002B4432" w:rsidRPr="002375CB">
          <w:rPr>
            <w:rStyle w:val="Hyperlink"/>
            <w:b/>
            <w:bCs/>
            <w:noProof/>
          </w:rPr>
          <w:t>Observation 6:</w:t>
        </w:r>
        <w:r w:rsidR="002B4432" w:rsidRPr="002375CB">
          <w:rPr>
            <w:rStyle w:val="Hyperlink"/>
            <w:noProof/>
          </w:rPr>
          <w:t xml:space="preserve"> In case 2 DCIs from different TRPs are received with a time distance smaller than timerDurationForQCL, RAN1 requirements state that the UE can receive PDSCH on both TCI states when timerDurationForQCL has passed for both states.</w:t>
        </w:r>
      </w:hyperlink>
    </w:p>
    <w:p w14:paraId="1A6DEE9D" w14:textId="0E495DD4" w:rsidR="002B4432" w:rsidRDefault="002E7C64">
      <w:pPr>
        <w:pStyle w:val="TOC5"/>
        <w:rPr>
          <w:rFonts w:asciiTheme="minorHAnsi" w:eastAsiaTheme="minorEastAsia" w:hAnsiTheme="minorHAnsi"/>
          <w:b w:val="0"/>
          <w:sz w:val="22"/>
        </w:rPr>
      </w:pPr>
      <w:hyperlink w:anchor="_Toc127557108" w:history="1">
        <w:r w:rsidR="002B4432" w:rsidRPr="002375CB">
          <w:rPr>
            <w:rStyle w:val="Hyperlink"/>
            <w:noProof/>
          </w:rPr>
          <w:t>Proposal 7: In mDCI scenario, if DCI based TCI switch command from one TRP is received at n1, DCI state from other TRP is received at n2, and |n1-n2| &lt; timeDurationForQCL the UE shall be able to receive PDSCH after slot max(n1,n2)+timeDurationForQCL.</w:t>
        </w:r>
      </w:hyperlink>
    </w:p>
    <w:p w14:paraId="0667AB32" w14:textId="5B28F01D" w:rsidR="002B4432" w:rsidRDefault="002E7C64">
      <w:pPr>
        <w:pStyle w:val="TOC4"/>
        <w:rPr>
          <w:rFonts w:asciiTheme="minorHAnsi" w:eastAsiaTheme="minorEastAsia" w:hAnsiTheme="minorHAnsi"/>
          <w:sz w:val="22"/>
        </w:rPr>
      </w:pPr>
      <w:hyperlink w:anchor="_Toc127557109" w:history="1">
        <w:r w:rsidR="002B4432" w:rsidRPr="002375CB">
          <w:rPr>
            <w:rStyle w:val="Hyperlink"/>
            <w:b/>
            <w:bCs/>
            <w:noProof/>
          </w:rPr>
          <w:t>Observation 7:</w:t>
        </w:r>
        <w:r w:rsidR="002B4432" w:rsidRPr="002375CB">
          <w:rPr>
            <w:rStyle w:val="Hyperlink"/>
            <w:noProof/>
          </w:rPr>
          <w:t xml:space="preserve"> In mDCI scenario, Rel-16 MAC CE based TCI switching applied only to single PDCCH TCI state.</w:t>
        </w:r>
      </w:hyperlink>
    </w:p>
    <w:p w14:paraId="521F4C71" w14:textId="5ADE45C0" w:rsidR="002B4432" w:rsidRDefault="002E7C64">
      <w:pPr>
        <w:pStyle w:val="TOC5"/>
        <w:rPr>
          <w:rFonts w:asciiTheme="minorHAnsi" w:eastAsiaTheme="minorEastAsia" w:hAnsiTheme="minorHAnsi"/>
          <w:b w:val="0"/>
          <w:sz w:val="22"/>
        </w:rPr>
      </w:pPr>
      <w:hyperlink w:anchor="_Toc127557110" w:history="1">
        <w:r w:rsidR="002B4432" w:rsidRPr="002375CB">
          <w:rPr>
            <w:rStyle w:val="Hyperlink"/>
            <w:noProof/>
          </w:rPr>
          <w:t>Proposal 8: RAN4 to use Rel-16 requirements for MAC CE TCI switching as baseline for multi-DCI scenario.</w:t>
        </w:r>
      </w:hyperlink>
    </w:p>
    <w:p w14:paraId="15C47C7F" w14:textId="173F7544" w:rsidR="002B4432" w:rsidRDefault="002E7C64">
      <w:pPr>
        <w:pStyle w:val="TOC4"/>
        <w:rPr>
          <w:rFonts w:asciiTheme="minorHAnsi" w:eastAsiaTheme="minorEastAsia" w:hAnsiTheme="minorHAnsi"/>
          <w:sz w:val="22"/>
        </w:rPr>
      </w:pPr>
      <w:hyperlink w:anchor="_Toc127557111" w:history="1">
        <w:r w:rsidR="002B4432" w:rsidRPr="002375CB">
          <w:rPr>
            <w:rStyle w:val="Hyperlink"/>
            <w:b/>
            <w:bCs/>
            <w:noProof/>
          </w:rPr>
          <w:t>Observation 8:</w:t>
        </w:r>
        <w:r w:rsidR="002B4432" w:rsidRPr="002375CB">
          <w:rPr>
            <w:rStyle w:val="Hyperlink"/>
            <w:noProof/>
          </w:rPr>
          <w:t xml:space="preserve"> Transition from 1 PDCCH state (sDCI) to 2 PDCCH states (mDCI) is done by RRC in Rel-16.</w:t>
        </w:r>
      </w:hyperlink>
    </w:p>
    <w:p w14:paraId="2DE8C7C4" w14:textId="3FAF4D85" w:rsidR="002B4432" w:rsidRDefault="002E7C64">
      <w:pPr>
        <w:pStyle w:val="TOC5"/>
        <w:rPr>
          <w:rFonts w:asciiTheme="minorHAnsi" w:eastAsiaTheme="minorEastAsia" w:hAnsiTheme="minorHAnsi"/>
          <w:b w:val="0"/>
          <w:sz w:val="22"/>
        </w:rPr>
      </w:pPr>
      <w:hyperlink w:anchor="_Toc127557112" w:history="1">
        <w:r w:rsidR="002B4432" w:rsidRPr="002375CB">
          <w:rPr>
            <w:rStyle w:val="Hyperlink"/>
            <w:noProof/>
          </w:rPr>
          <w:t>Proposal 9: RAN4 to discuss Single to Dual PDCCH state switch requirements using RRC for mDCI scenario.</w:t>
        </w:r>
      </w:hyperlink>
    </w:p>
    <w:p w14:paraId="56446373" w14:textId="30538DCB" w:rsidR="002B4432" w:rsidRDefault="002E7C64">
      <w:pPr>
        <w:pStyle w:val="TOC4"/>
        <w:rPr>
          <w:rFonts w:asciiTheme="minorHAnsi" w:eastAsiaTheme="minorEastAsia" w:hAnsiTheme="minorHAnsi"/>
          <w:sz w:val="22"/>
        </w:rPr>
      </w:pPr>
      <w:hyperlink w:anchor="_Toc127557113" w:history="1">
        <w:r w:rsidR="002B4432" w:rsidRPr="002375CB">
          <w:rPr>
            <w:rStyle w:val="Hyperlink"/>
            <w:b/>
            <w:bCs/>
            <w:noProof/>
          </w:rPr>
          <w:t>Observation 9:</w:t>
        </w:r>
        <w:r w:rsidR="002B4432" w:rsidRPr="002375CB">
          <w:rPr>
            <w:rStyle w:val="Hyperlink"/>
            <w:noProof/>
          </w:rPr>
          <w:t xml:space="preserve"> RRC based TCI state switch delay and MAC CE based TCI state switch delay are impacted by the L1-RSRP measurement periods. Discussions on improved L1-RSRP measurement delays are ongoing.</w:t>
        </w:r>
      </w:hyperlink>
    </w:p>
    <w:p w14:paraId="18A803ED" w14:textId="3A224E49" w:rsidR="002B4432" w:rsidRDefault="002E7C64">
      <w:pPr>
        <w:pStyle w:val="TOC5"/>
        <w:rPr>
          <w:rFonts w:asciiTheme="minorHAnsi" w:eastAsiaTheme="minorEastAsia" w:hAnsiTheme="minorHAnsi"/>
          <w:b w:val="0"/>
          <w:sz w:val="22"/>
        </w:rPr>
      </w:pPr>
      <w:hyperlink w:anchor="_Toc127557114" w:history="1">
        <w:r w:rsidR="002B4432" w:rsidRPr="002375CB">
          <w:rPr>
            <w:rStyle w:val="Hyperlink"/>
            <w:noProof/>
          </w:rPr>
          <w:t xml:space="preserve">Proposal 10: L1-RSRP measurement improvements once finalized should be reflected in </w:t>
        </w:r>
        <w:r w:rsidR="002B4432" w:rsidRPr="002375CB">
          <w:rPr>
            <w:rStyle w:val="Hyperlink"/>
            <w:bCs/>
            <w:noProof/>
          </w:rPr>
          <w:t>T</w:t>
        </w:r>
        <w:r w:rsidR="002B4432" w:rsidRPr="002375CB">
          <w:rPr>
            <w:rStyle w:val="Hyperlink"/>
            <w:bCs/>
            <w:noProof/>
            <w:vertAlign w:val="subscript"/>
          </w:rPr>
          <w:t xml:space="preserve">L1-RSPR_Measurement_Period_SSB </w:t>
        </w:r>
        <w:r w:rsidR="002B4432" w:rsidRPr="002375CB">
          <w:rPr>
            <w:rStyle w:val="Hyperlink"/>
            <w:bCs/>
            <w:noProof/>
          </w:rPr>
          <w:t>and T</w:t>
        </w:r>
        <w:r w:rsidR="002B4432" w:rsidRPr="002375CB">
          <w:rPr>
            <w:rStyle w:val="Hyperlink"/>
            <w:bCs/>
            <w:noProof/>
            <w:vertAlign w:val="subscript"/>
          </w:rPr>
          <w:t xml:space="preserve">L1-RSRP_Measurement_Period_CSI-RS </w:t>
        </w:r>
        <w:r w:rsidR="002B4432" w:rsidRPr="002375CB">
          <w:rPr>
            <w:rStyle w:val="Hyperlink"/>
            <w:bCs/>
            <w:noProof/>
          </w:rPr>
          <w:t>to enable faster switching of TCI states when the target TCI state is unknown.</w:t>
        </w:r>
      </w:hyperlink>
    </w:p>
    <w:p w14:paraId="00AB6A14" w14:textId="23E74A9D" w:rsidR="002B4432" w:rsidRDefault="002E7C64">
      <w:pPr>
        <w:pStyle w:val="TOC4"/>
        <w:rPr>
          <w:rFonts w:asciiTheme="minorHAnsi" w:eastAsiaTheme="minorEastAsia" w:hAnsiTheme="minorHAnsi"/>
          <w:sz w:val="22"/>
        </w:rPr>
      </w:pPr>
      <w:hyperlink w:anchor="_Toc127557115" w:history="1">
        <w:r w:rsidR="002B4432" w:rsidRPr="002375CB">
          <w:rPr>
            <w:rStyle w:val="Hyperlink"/>
            <w:b/>
            <w:bCs/>
            <w:noProof/>
          </w:rPr>
          <w:t>Observation 10:</w:t>
        </w:r>
        <w:r w:rsidR="002B4432" w:rsidRPr="002375CB">
          <w:rPr>
            <w:rStyle w:val="Hyperlink"/>
            <w:noProof/>
          </w:rPr>
          <w:t xml:space="preserve"> The existing conditions defined for a target TCI state to be known are based on whether the UE has reported a valid L1-RSRP measurement for the target TCI state and reference signal associated with the TCI state is detectable during the switching period.</w:t>
        </w:r>
      </w:hyperlink>
    </w:p>
    <w:p w14:paraId="4B111F9C" w14:textId="052E2512" w:rsidR="002B4432" w:rsidRDefault="002E7C64">
      <w:pPr>
        <w:pStyle w:val="TOC5"/>
        <w:rPr>
          <w:rFonts w:asciiTheme="minorHAnsi" w:eastAsiaTheme="minorEastAsia" w:hAnsiTheme="minorHAnsi"/>
          <w:b w:val="0"/>
          <w:sz w:val="22"/>
        </w:rPr>
      </w:pPr>
      <w:hyperlink w:anchor="_Toc127557116" w:history="1">
        <w:r w:rsidR="002B4432" w:rsidRPr="002375CB">
          <w:rPr>
            <w:rStyle w:val="Hyperlink"/>
            <w:noProof/>
            <w:lang w:eastAsia="zh-CN"/>
          </w:rPr>
          <w:t>Proposal 11:</w:t>
        </w:r>
        <w:r w:rsidR="002B4432" w:rsidRPr="002375CB">
          <w:rPr>
            <w:rStyle w:val="Hyperlink"/>
            <w:noProof/>
          </w:rPr>
          <w:t xml:space="preserve"> Both target TCI states need to be known in order to use the requirements with known conditions for DCI based TCI switching in single DCI scenario.</w:t>
        </w:r>
      </w:hyperlink>
    </w:p>
    <w:p w14:paraId="6AF6932A" w14:textId="74501D67" w:rsidR="002B4432" w:rsidRDefault="002E7C64">
      <w:pPr>
        <w:pStyle w:val="TOC5"/>
        <w:rPr>
          <w:rFonts w:asciiTheme="minorHAnsi" w:eastAsiaTheme="minorEastAsia" w:hAnsiTheme="minorHAnsi"/>
          <w:b w:val="0"/>
          <w:sz w:val="22"/>
        </w:rPr>
      </w:pPr>
      <w:hyperlink w:anchor="_Toc127557117" w:history="1">
        <w:r w:rsidR="002B4432" w:rsidRPr="002375CB">
          <w:rPr>
            <w:rStyle w:val="Hyperlink"/>
            <w:noProof/>
          </w:rPr>
          <w:t>Proposal 12: For multi-DCI scenario, known/unknown conditions are analyzed for each target TCI state independently.</w:t>
        </w:r>
      </w:hyperlink>
    </w:p>
    <w:p w14:paraId="1078A25B" w14:textId="44602A41" w:rsidR="002B4432" w:rsidRDefault="002E7C64">
      <w:pPr>
        <w:pStyle w:val="TOC5"/>
        <w:rPr>
          <w:rFonts w:asciiTheme="minorHAnsi" w:eastAsiaTheme="minorEastAsia" w:hAnsiTheme="minorHAnsi"/>
          <w:b w:val="0"/>
          <w:sz w:val="22"/>
        </w:rPr>
      </w:pPr>
      <w:hyperlink w:anchor="_Toc127557118" w:history="1">
        <w:r w:rsidR="002B4432" w:rsidRPr="002375CB">
          <w:rPr>
            <w:rStyle w:val="Hyperlink"/>
            <w:noProof/>
          </w:rPr>
          <w:t>Proposal 13: If a pair of TCI states is activated by MAC CE command, consider the first SSB of both TCI states for activation time while arriving at the active TCI state list update delay requirements for dual TCI states</w:t>
        </w:r>
      </w:hyperlink>
    </w:p>
    <w:p w14:paraId="05C39B1D" w14:textId="7EF92657" w:rsidR="003B659E" w:rsidRPr="0060543D" w:rsidRDefault="00A4355E" w:rsidP="0060543D">
      <w:pPr>
        <w:pStyle w:val="RAN4H1"/>
        <w:numPr>
          <w:ilvl w:val="0"/>
          <w:numId w:val="0"/>
        </w:numPr>
        <w:ind w:left="360" w:hanging="360"/>
      </w:pPr>
      <w:r>
        <w:rPr>
          <w:noProof/>
        </w:rPr>
        <w:fldChar w:fldCharType="end"/>
      </w:r>
      <w:bookmarkStart w:id="36" w:name="_Toc116995849"/>
      <w:r w:rsidR="003B659E" w:rsidRPr="00EF698B">
        <w:t>References</w:t>
      </w:r>
      <w:bookmarkEnd w:id="36"/>
    </w:p>
    <w:p w14:paraId="5427DC4D" w14:textId="77777777" w:rsidR="009617D5" w:rsidRPr="008839D4" w:rsidRDefault="009617D5" w:rsidP="009617D5">
      <w:pPr>
        <w:pStyle w:val="ListParagraph"/>
        <w:numPr>
          <w:ilvl w:val="0"/>
          <w:numId w:val="44"/>
        </w:numPr>
        <w:jc w:val="both"/>
      </w:pPr>
      <w:bookmarkStart w:id="37" w:name="_Ref114500673"/>
      <w:bookmarkStart w:id="38" w:name="_Ref127176830"/>
      <w:bookmarkEnd w:id="37"/>
      <w:r w:rsidRPr="008839D4">
        <w:t>R4-2220402, WF for FR2_multiRx_RRM_part3, Ericsson, 3GPP TSG-RAN WG4 Meeting # 105, Toulouse, France, November 14th – November 18th, 2022.</w:t>
      </w:r>
      <w:bookmarkEnd w:id="38"/>
    </w:p>
    <w:p w14:paraId="183B5AFB" w14:textId="55188013" w:rsidR="009617D5" w:rsidRDefault="009617D5" w:rsidP="009617D5">
      <w:pPr>
        <w:pStyle w:val="ListParagraph"/>
        <w:numPr>
          <w:ilvl w:val="0"/>
          <w:numId w:val="44"/>
        </w:numPr>
        <w:jc w:val="both"/>
      </w:pPr>
      <w:bookmarkStart w:id="39" w:name="_Ref127176912"/>
      <w:r>
        <w:rPr>
          <w:rStyle w:val="ui-provider"/>
        </w:rPr>
        <w:t>R4-</w:t>
      </w:r>
      <w:proofErr w:type="gramStart"/>
      <w:r w:rsidR="00254763">
        <w:rPr>
          <w:rStyle w:val="ui-provider"/>
        </w:rPr>
        <w:t>2300522 </w:t>
      </w:r>
      <w:r w:rsidRPr="008839D4">
        <w:t>,</w:t>
      </w:r>
      <w:proofErr w:type="gramEnd"/>
      <w:r w:rsidRPr="008839D4">
        <w:t xml:space="preserve"> RRM General Aspects, Nokia, Nokia Shanghai Bell, 3GPP TSG-RAN WG4 Meeting #106, Athens, Greece, February 27 – March 3, 2023.</w:t>
      </w:r>
      <w:bookmarkEnd w:id="39"/>
    </w:p>
    <w:p w14:paraId="7DDC95D3" w14:textId="07934DFA" w:rsidR="002F3B3D" w:rsidRDefault="00453368" w:rsidP="002F3B3D">
      <w:pPr>
        <w:pStyle w:val="ListParagraph"/>
        <w:numPr>
          <w:ilvl w:val="0"/>
          <w:numId w:val="44"/>
        </w:numPr>
        <w:jc w:val="both"/>
      </w:pPr>
      <w:r>
        <w:rPr>
          <w:rStyle w:val="ui-provider"/>
        </w:rPr>
        <w:t>R4-</w:t>
      </w:r>
      <w:r w:rsidR="007A7BFC">
        <w:rPr>
          <w:rStyle w:val="ui-provider"/>
        </w:rPr>
        <w:t>2300523</w:t>
      </w:r>
      <w:r>
        <w:t xml:space="preserve">, </w:t>
      </w:r>
      <w:r w:rsidR="002F3B3D" w:rsidRPr="002F3B3D">
        <w:t>R4-23xxxxx_Nokia_L1-RSRP_Measurement_Delay</w:t>
      </w:r>
      <w:r w:rsidR="002F3B3D">
        <w:t xml:space="preserve">, </w:t>
      </w:r>
      <w:r w:rsidR="002F3B3D" w:rsidRPr="008839D4">
        <w:t>Nokia, Nokia Shanghai Bell, 3GPP TSG-RAN WG4 Meeting #106, Athens, Greece, February 27 – March 3, 2023.</w:t>
      </w:r>
    </w:p>
    <w:p w14:paraId="44801975" w14:textId="38CA69A0" w:rsidR="00F32BE3" w:rsidRDefault="00F32BE3" w:rsidP="002F3B3D">
      <w:pPr>
        <w:pStyle w:val="ListParagraph"/>
        <w:numPr>
          <w:ilvl w:val="0"/>
          <w:numId w:val="44"/>
        </w:numPr>
        <w:jc w:val="both"/>
      </w:pPr>
      <w:bookmarkStart w:id="40" w:name="_Ref127516385"/>
      <w:r w:rsidRPr="00F32BE3">
        <w:t>R4-2220063, Topic summary for [105][217] FR2_multiRx_RRM_part3, Ericsson</w:t>
      </w:r>
      <w:r>
        <w:t xml:space="preserve">, </w:t>
      </w:r>
      <w:r w:rsidRPr="008839D4">
        <w:t>3GPP TSG-RAN WG4 Meeting # 105, Toulouse, France, November 14th – November 18th, 2022.</w:t>
      </w:r>
      <w:bookmarkEnd w:id="40"/>
    </w:p>
    <w:p w14:paraId="40ACE769" w14:textId="126CBA80" w:rsidR="00453368" w:rsidRPr="00492BC6" w:rsidRDefault="00453368" w:rsidP="00762552">
      <w:pPr>
        <w:pStyle w:val="ListParagraph"/>
        <w:jc w:val="both"/>
      </w:pPr>
    </w:p>
    <w:p w14:paraId="47062FF9" w14:textId="77777777" w:rsidR="000040DC" w:rsidRDefault="000040DC" w:rsidP="000040DC">
      <w:pPr>
        <w:ind w:right="-22"/>
        <w:rPr>
          <w:highlight w:val="yellow"/>
        </w:rPr>
      </w:pPr>
    </w:p>
    <w:p w14:paraId="536B307C"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7DD74" w14:textId="77777777" w:rsidR="005C7C73" w:rsidRDefault="005C7C73" w:rsidP="00001C9B">
      <w:pPr>
        <w:spacing w:after="0" w:line="240" w:lineRule="auto"/>
      </w:pPr>
      <w:r>
        <w:separator/>
      </w:r>
    </w:p>
  </w:endnote>
  <w:endnote w:type="continuationSeparator" w:id="0">
    <w:p w14:paraId="3679B1CA" w14:textId="77777777" w:rsidR="005C7C73" w:rsidRDefault="005C7C73" w:rsidP="00001C9B">
      <w:pPr>
        <w:spacing w:after="0" w:line="240" w:lineRule="auto"/>
      </w:pPr>
      <w:r>
        <w:continuationSeparator/>
      </w:r>
    </w:p>
  </w:endnote>
  <w:endnote w:type="continuationNotice" w:id="1">
    <w:p w14:paraId="08D56373" w14:textId="77777777" w:rsidR="005C7C73" w:rsidRDefault="005C7C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32F3" w14:textId="77777777" w:rsidR="005C7C73" w:rsidRDefault="005C7C73" w:rsidP="00001C9B">
      <w:pPr>
        <w:spacing w:after="0" w:line="240" w:lineRule="auto"/>
      </w:pPr>
      <w:r>
        <w:separator/>
      </w:r>
    </w:p>
  </w:footnote>
  <w:footnote w:type="continuationSeparator" w:id="0">
    <w:p w14:paraId="34DA8D0A" w14:textId="77777777" w:rsidR="005C7C73" w:rsidRDefault="005C7C73" w:rsidP="00001C9B">
      <w:pPr>
        <w:spacing w:after="0" w:line="240" w:lineRule="auto"/>
      </w:pPr>
      <w:r>
        <w:continuationSeparator/>
      </w:r>
    </w:p>
  </w:footnote>
  <w:footnote w:type="continuationNotice" w:id="1">
    <w:p w14:paraId="198E280D" w14:textId="77777777" w:rsidR="005C7C73" w:rsidRDefault="005C7C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8566D"/>
    <w:multiLevelType w:val="multilevel"/>
    <w:tmpl w:val="DAF221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82C78CC"/>
    <w:multiLevelType w:val="multilevel"/>
    <w:tmpl w:val="F68022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462B0"/>
    <w:multiLevelType w:val="multilevel"/>
    <w:tmpl w:val="AECC68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1919A5"/>
    <w:multiLevelType w:val="hybridMultilevel"/>
    <w:tmpl w:val="5E16CFDC"/>
    <w:lvl w:ilvl="0" w:tplc="7CB0EA4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D3459"/>
    <w:multiLevelType w:val="multilevel"/>
    <w:tmpl w:val="E53490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202B47"/>
    <w:multiLevelType w:val="multilevel"/>
    <w:tmpl w:val="0D861F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705153"/>
    <w:multiLevelType w:val="multilevel"/>
    <w:tmpl w:val="4AD898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C4B4ECD"/>
    <w:multiLevelType w:val="multilevel"/>
    <w:tmpl w:val="88F20F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B43B9D"/>
    <w:multiLevelType w:val="hybridMultilevel"/>
    <w:tmpl w:val="1930BF72"/>
    <w:lvl w:ilvl="0" w:tplc="155A6452">
      <w:start w:val="1"/>
      <w:numFmt w:val="decimal"/>
      <w:pStyle w:val="RAN4Observation"/>
      <w:suff w:val="space"/>
      <w:lvlText w:val="Observation %1:"/>
      <w:lvlJc w:val="left"/>
      <w:pPr>
        <w:ind w:left="6392" w:hanging="360"/>
      </w:pPr>
      <w:rPr>
        <w:b/>
        <w:bCs/>
      </w:rPr>
    </w:lvl>
    <w:lvl w:ilvl="1" w:tplc="04090019">
      <w:start w:val="1"/>
      <w:numFmt w:val="lowerLetter"/>
      <w:lvlText w:val="%2."/>
      <w:lvlJc w:val="left"/>
      <w:pPr>
        <w:ind w:left="7821" w:hanging="360"/>
      </w:pPr>
    </w:lvl>
    <w:lvl w:ilvl="2" w:tplc="0409001B">
      <w:start w:val="1"/>
      <w:numFmt w:val="lowerRoman"/>
      <w:lvlText w:val="%3."/>
      <w:lvlJc w:val="right"/>
      <w:pPr>
        <w:ind w:left="8541" w:hanging="180"/>
      </w:pPr>
    </w:lvl>
    <w:lvl w:ilvl="3" w:tplc="0409000F">
      <w:start w:val="1"/>
      <w:numFmt w:val="decimal"/>
      <w:lvlText w:val="%4."/>
      <w:lvlJc w:val="left"/>
      <w:pPr>
        <w:ind w:left="9261" w:hanging="360"/>
      </w:pPr>
    </w:lvl>
    <w:lvl w:ilvl="4" w:tplc="04090019" w:tentative="1">
      <w:start w:val="1"/>
      <w:numFmt w:val="lowerLetter"/>
      <w:lvlText w:val="%5."/>
      <w:lvlJc w:val="left"/>
      <w:pPr>
        <w:ind w:left="9981" w:hanging="360"/>
      </w:pPr>
    </w:lvl>
    <w:lvl w:ilvl="5" w:tplc="0409001B" w:tentative="1">
      <w:start w:val="1"/>
      <w:numFmt w:val="lowerRoman"/>
      <w:lvlText w:val="%6."/>
      <w:lvlJc w:val="right"/>
      <w:pPr>
        <w:ind w:left="10701" w:hanging="180"/>
      </w:pPr>
    </w:lvl>
    <w:lvl w:ilvl="6" w:tplc="0409000F" w:tentative="1">
      <w:start w:val="1"/>
      <w:numFmt w:val="decimal"/>
      <w:lvlText w:val="%7."/>
      <w:lvlJc w:val="left"/>
      <w:pPr>
        <w:ind w:left="11421" w:hanging="360"/>
      </w:pPr>
    </w:lvl>
    <w:lvl w:ilvl="7" w:tplc="04090019" w:tentative="1">
      <w:start w:val="1"/>
      <w:numFmt w:val="lowerLetter"/>
      <w:lvlText w:val="%8."/>
      <w:lvlJc w:val="left"/>
      <w:pPr>
        <w:ind w:left="12141" w:hanging="360"/>
      </w:pPr>
    </w:lvl>
    <w:lvl w:ilvl="8" w:tplc="0409001B" w:tentative="1">
      <w:start w:val="1"/>
      <w:numFmt w:val="lowerRoman"/>
      <w:lvlText w:val="%9."/>
      <w:lvlJc w:val="right"/>
      <w:pPr>
        <w:ind w:left="12861" w:hanging="180"/>
      </w:pPr>
    </w:lvl>
  </w:abstractNum>
  <w:abstractNum w:abstractNumId="18" w15:restartNumberingAfterBreak="0">
    <w:nsid w:val="4D6E3167"/>
    <w:multiLevelType w:val="hybridMultilevel"/>
    <w:tmpl w:val="CD6067D2"/>
    <w:lvl w:ilvl="0" w:tplc="7FB26B66">
      <w:start w:val="1"/>
      <w:numFmt w:val="decimal"/>
      <w:pStyle w:val="RAN4proposal"/>
      <w:suff w:val="space"/>
      <w:lvlText w:val="Proposal %1:"/>
      <w:lvlJc w:val="left"/>
      <w:pPr>
        <w:ind w:left="360" w:hanging="360"/>
      </w:pPr>
    </w:lvl>
    <w:lvl w:ilvl="1" w:tplc="04090019">
      <w:start w:val="1"/>
      <w:numFmt w:val="lowerLetter"/>
      <w:lvlText w:val="%2."/>
      <w:lvlJc w:val="left"/>
      <w:pPr>
        <w:ind w:left="-2321" w:hanging="360"/>
      </w:pPr>
    </w:lvl>
    <w:lvl w:ilvl="2" w:tplc="0409001B">
      <w:start w:val="1"/>
      <w:numFmt w:val="lowerRoman"/>
      <w:lvlText w:val="%3."/>
      <w:lvlJc w:val="right"/>
      <w:pPr>
        <w:ind w:left="-1601" w:hanging="180"/>
      </w:pPr>
    </w:lvl>
    <w:lvl w:ilvl="3" w:tplc="0409000F">
      <w:start w:val="1"/>
      <w:numFmt w:val="decimal"/>
      <w:lvlText w:val="%4."/>
      <w:lvlJc w:val="left"/>
      <w:pPr>
        <w:ind w:left="-881" w:hanging="360"/>
      </w:pPr>
    </w:lvl>
    <w:lvl w:ilvl="4" w:tplc="04090019">
      <w:start w:val="1"/>
      <w:numFmt w:val="lowerLetter"/>
      <w:lvlText w:val="%5."/>
      <w:lvlJc w:val="left"/>
      <w:pPr>
        <w:ind w:left="-161" w:hanging="360"/>
      </w:pPr>
    </w:lvl>
    <w:lvl w:ilvl="5" w:tplc="FC1203D8">
      <w:start w:val="1"/>
      <w:numFmt w:val="lowerRoman"/>
      <w:lvlText w:val="%6."/>
      <w:lvlJc w:val="right"/>
      <w:pPr>
        <w:ind w:left="559" w:hanging="180"/>
      </w:pPr>
    </w:lvl>
    <w:lvl w:ilvl="6" w:tplc="0409000F">
      <w:start w:val="1"/>
      <w:numFmt w:val="decimal"/>
      <w:lvlText w:val="%7."/>
      <w:lvlJc w:val="left"/>
      <w:pPr>
        <w:ind w:left="1279" w:hanging="360"/>
      </w:pPr>
    </w:lvl>
    <w:lvl w:ilvl="7" w:tplc="04090019">
      <w:start w:val="1"/>
      <w:numFmt w:val="lowerLetter"/>
      <w:lvlText w:val="%8."/>
      <w:lvlJc w:val="left"/>
      <w:pPr>
        <w:ind w:left="1999" w:hanging="360"/>
      </w:pPr>
    </w:lvl>
    <w:lvl w:ilvl="8" w:tplc="0409001B">
      <w:start w:val="1"/>
      <w:numFmt w:val="lowerRoman"/>
      <w:lvlText w:val="%9."/>
      <w:lvlJc w:val="right"/>
      <w:pPr>
        <w:ind w:left="2719"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27F80"/>
    <w:multiLevelType w:val="multilevel"/>
    <w:tmpl w:val="3C20EF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95E3100"/>
    <w:multiLevelType w:val="multilevel"/>
    <w:tmpl w:val="20D28D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F3F59"/>
    <w:multiLevelType w:val="hybridMultilevel"/>
    <w:tmpl w:val="F9828870"/>
    <w:lvl w:ilvl="0" w:tplc="04090017">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5" w15:restartNumberingAfterBreak="0">
    <w:nsid w:val="5E8550B9"/>
    <w:multiLevelType w:val="multilevel"/>
    <w:tmpl w:val="0D48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AA7E6E"/>
    <w:multiLevelType w:val="multilevel"/>
    <w:tmpl w:val="1CEABD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091185"/>
    <w:multiLevelType w:val="multilevel"/>
    <w:tmpl w:val="B1660A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E9E6989"/>
    <w:multiLevelType w:val="multilevel"/>
    <w:tmpl w:val="FDF065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1A7636"/>
    <w:multiLevelType w:val="hybridMultilevel"/>
    <w:tmpl w:val="A29A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19"/>
  </w:num>
  <w:num w:numId="4">
    <w:abstractNumId w:val="11"/>
  </w:num>
  <w:num w:numId="5">
    <w:abstractNumId w:val="29"/>
  </w:num>
  <w:num w:numId="6">
    <w:abstractNumId w:val="17"/>
  </w:num>
  <w:num w:numId="7">
    <w:abstractNumId w:val="18"/>
  </w:num>
  <w:num w:numId="8">
    <w:abstractNumId w:val="18"/>
    <w:lvlOverride w:ilvl="0">
      <w:startOverride w:val="1"/>
    </w:lvlOverride>
  </w:num>
  <w:num w:numId="9">
    <w:abstractNumId w:val="18"/>
    <w:lvlOverride w:ilvl="0">
      <w:startOverride w:val="1"/>
    </w:lvlOverride>
  </w:num>
  <w:num w:numId="10">
    <w:abstractNumId w:val="18"/>
    <w:lvlOverride w:ilvl="0">
      <w:startOverride w:val="1"/>
    </w:lvlOverride>
  </w:num>
  <w:num w:numId="11">
    <w:abstractNumId w:val="17"/>
    <w:lvlOverride w:ilvl="0">
      <w:startOverride w:val="1"/>
    </w:lvlOverride>
  </w:num>
  <w:num w:numId="12">
    <w:abstractNumId w:val="18"/>
    <w:lvlOverride w:ilvl="0">
      <w:startOverride w:val="1"/>
    </w:lvlOverride>
  </w:num>
  <w:num w:numId="13">
    <w:abstractNumId w:val="17"/>
    <w:lvlOverride w:ilvl="0">
      <w:startOverride w:val="1"/>
    </w:lvlOverride>
  </w:num>
  <w:num w:numId="14">
    <w:abstractNumId w:val="18"/>
    <w:lvlOverride w:ilvl="0">
      <w:startOverride w:val="1"/>
    </w:lvlOverride>
  </w:num>
  <w:num w:numId="15">
    <w:abstractNumId w:val="32"/>
  </w:num>
  <w:num w:numId="16">
    <w:abstractNumId w:val="7"/>
  </w:num>
  <w:num w:numId="17">
    <w:abstractNumId w:val="28"/>
  </w:num>
  <w:num w:numId="18">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3"/>
  </w:num>
  <w:num w:numId="22">
    <w:abstractNumId w:val="17"/>
    <w:lvlOverride w:ilvl="0">
      <w:startOverride w:val="1"/>
    </w:lvlOverride>
  </w:num>
  <w:num w:numId="23">
    <w:abstractNumId w:val="18"/>
    <w:lvlOverride w:ilvl="0">
      <w:startOverride w:val="1"/>
    </w:lvlOverride>
  </w:num>
  <w:num w:numId="24">
    <w:abstractNumId w:val="3"/>
  </w:num>
  <w:num w:numId="25">
    <w:abstractNumId w:val="0"/>
  </w:num>
  <w:num w:numId="26">
    <w:abstractNumId w:val="0"/>
    <w:lvlOverride w:ilvl="0">
      <w:startOverride w:val="1"/>
    </w:lvlOverride>
  </w:num>
  <w:num w:numId="27">
    <w:abstractNumId w:val="4"/>
  </w:num>
  <w:num w:numId="28">
    <w:abstractNumId w:val="30"/>
  </w:num>
  <w:num w:numId="29">
    <w:abstractNumId w:val="27"/>
  </w:num>
  <w:num w:numId="30">
    <w:abstractNumId w:val="10"/>
  </w:num>
  <w:num w:numId="31">
    <w:abstractNumId w:val="20"/>
  </w:num>
  <w:num w:numId="32">
    <w:abstractNumId w:val="22"/>
  </w:num>
  <w:num w:numId="33">
    <w:abstractNumId w:val="15"/>
  </w:num>
  <w:num w:numId="34">
    <w:abstractNumId w:val="13"/>
  </w:num>
  <w:num w:numId="35">
    <w:abstractNumId w:val="26"/>
  </w:num>
  <w:num w:numId="36">
    <w:abstractNumId w:val="5"/>
  </w:num>
  <w:num w:numId="37">
    <w:abstractNumId w:val="24"/>
  </w:num>
  <w:num w:numId="38">
    <w:abstractNumId w:val="14"/>
  </w:num>
  <w:num w:numId="39">
    <w:abstractNumId w:val="25"/>
  </w:num>
  <w:num w:numId="40">
    <w:abstractNumId w:val="9"/>
  </w:num>
  <w:num w:numId="41">
    <w:abstractNumId w:val="6"/>
  </w:num>
  <w:num w:numId="42">
    <w:abstractNumId w:val="18"/>
  </w:num>
  <w:num w:numId="43">
    <w:abstractNumId w:val="31"/>
  </w:num>
  <w:num w:numId="44">
    <w:abstractNumId w:val="2"/>
  </w:num>
  <w:num w:numId="45">
    <w:abstractNumId w:val="21"/>
  </w:num>
  <w:num w:numId="46">
    <w:abstractNumId w:val="8"/>
  </w:num>
  <w:num w:numId="47">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24B2"/>
    <w:rsid w:val="00012FA6"/>
    <w:rsid w:val="00014551"/>
    <w:rsid w:val="000151EF"/>
    <w:rsid w:val="00015482"/>
    <w:rsid w:val="000169A8"/>
    <w:rsid w:val="000178EB"/>
    <w:rsid w:val="000208C4"/>
    <w:rsid w:val="000239F5"/>
    <w:rsid w:val="00027580"/>
    <w:rsid w:val="00031E78"/>
    <w:rsid w:val="00031F0C"/>
    <w:rsid w:val="000322FE"/>
    <w:rsid w:val="00032474"/>
    <w:rsid w:val="000327BB"/>
    <w:rsid w:val="000342D6"/>
    <w:rsid w:val="00034B90"/>
    <w:rsid w:val="00035979"/>
    <w:rsid w:val="00037722"/>
    <w:rsid w:val="000412F0"/>
    <w:rsid w:val="00041348"/>
    <w:rsid w:val="0004264B"/>
    <w:rsid w:val="00042FA3"/>
    <w:rsid w:val="0004334E"/>
    <w:rsid w:val="00043DDA"/>
    <w:rsid w:val="00045D06"/>
    <w:rsid w:val="000469CE"/>
    <w:rsid w:val="00046E93"/>
    <w:rsid w:val="00052F5D"/>
    <w:rsid w:val="00054D6E"/>
    <w:rsid w:val="00054FE7"/>
    <w:rsid w:val="00056F60"/>
    <w:rsid w:val="0005728F"/>
    <w:rsid w:val="000613DD"/>
    <w:rsid w:val="000647DB"/>
    <w:rsid w:val="000700EF"/>
    <w:rsid w:val="000703B2"/>
    <w:rsid w:val="00077292"/>
    <w:rsid w:val="00077E87"/>
    <w:rsid w:val="00080BAC"/>
    <w:rsid w:val="00084769"/>
    <w:rsid w:val="0008612A"/>
    <w:rsid w:val="00090E18"/>
    <w:rsid w:val="000934EC"/>
    <w:rsid w:val="00095C92"/>
    <w:rsid w:val="000970BB"/>
    <w:rsid w:val="000A0C51"/>
    <w:rsid w:val="000A10BC"/>
    <w:rsid w:val="000A4985"/>
    <w:rsid w:val="000A4D2C"/>
    <w:rsid w:val="000A57FE"/>
    <w:rsid w:val="000A7BF5"/>
    <w:rsid w:val="000B0056"/>
    <w:rsid w:val="000B2773"/>
    <w:rsid w:val="000B54B5"/>
    <w:rsid w:val="000C0524"/>
    <w:rsid w:val="000C1B2F"/>
    <w:rsid w:val="000C3C7B"/>
    <w:rsid w:val="000C3F92"/>
    <w:rsid w:val="000C59B0"/>
    <w:rsid w:val="000C5ABA"/>
    <w:rsid w:val="000C76C8"/>
    <w:rsid w:val="000C7817"/>
    <w:rsid w:val="000C7D98"/>
    <w:rsid w:val="000D033B"/>
    <w:rsid w:val="000D0F93"/>
    <w:rsid w:val="000D34D3"/>
    <w:rsid w:val="000D3580"/>
    <w:rsid w:val="000D4EDD"/>
    <w:rsid w:val="000D7887"/>
    <w:rsid w:val="000E0129"/>
    <w:rsid w:val="000E031B"/>
    <w:rsid w:val="000E170E"/>
    <w:rsid w:val="000E357A"/>
    <w:rsid w:val="000E485F"/>
    <w:rsid w:val="000F0F4F"/>
    <w:rsid w:val="000F19DF"/>
    <w:rsid w:val="000F25A6"/>
    <w:rsid w:val="000F2970"/>
    <w:rsid w:val="000F4099"/>
    <w:rsid w:val="000F4BAA"/>
    <w:rsid w:val="000F6C48"/>
    <w:rsid w:val="000F6E36"/>
    <w:rsid w:val="000F7181"/>
    <w:rsid w:val="000F7944"/>
    <w:rsid w:val="00100A58"/>
    <w:rsid w:val="00101D94"/>
    <w:rsid w:val="00102977"/>
    <w:rsid w:val="0010430B"/>
    <w:rsid w:val="001044F6"/>
    <w:rsid w:val="00106416"/>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6157"/>
    <w:rsid w:val="00127262"/>
    <w:rsid w:val="00131EED"/>
    <w:rsid w:val="00132F6A"/>
    <w:rsid w:val="001337D4"/>
    <w:rsid w:val="00133913"/>
    <w:rsid w:val="0013414C"/>
    <w:rsid w:val="00134A5A"/>
    <w:rsid w:val="00134ADE"/>
    <w:rsid w:val="001371B4"/>
    <w:rsid w:val="00140221"/>
    <w:rsid w:val="0014051C"/>
    <w:rsid w:val="00143E8E"/>
    <w:rsid w:val="001468C9"/>
    <w:rsid w:val="00146E28"/>
    <w:rsid w:val="00150A61"/>
    <w:rsid w:val="00150F50"/>
    <w:rsid w:val="00153DC3"/>
    <w:rsid w:val="00162D86"/>
    <w:rsid w:val="001642FC"/>
    <w:rsid w:val="00164319"/>
    <w:rsid w:val="0016462C"/>
    <w:rsid w:val="0016496B"/>
    <w:rsid w:val="001662DE"/>
    <w:rsid w:val="001670B3"/>
    <w:rsid w:val="001677F1"/>
    <w:rsid w:val="00170584"/>
    <w:rsid w:val="001707D0"/>
    <w:rsid w:val="00170C9E"/>
    <w:rsid w:val="00171486"/>
    <w:rsid w:val="00172CDC"/>
    <w:rsid w:val="001743E2"/>
    <w:rsid w:val="001745F8"/>
    <w:rsid w:val="001751FD"/>
    <w:rsid w:val="00175467"/>
    <w:rsid w:val="00177921"/>
    <w:rsid w:val="001801CD"/>
    <w:rsid w:val="00180899"/>
    <w:rsid w:val="001838CF"/>
    <w:rsid w:val="00183C12"/>
    <w:rsid w:val="001844D0"/>
    <w:rsid w:val="00185193"/>
    <w:rsid w:val="00186091"/>
    <w:rsid w:val="001868EE"/>
    <w:rsid w:val="0018796B"/>
    <w:rsid w:val="001905B1"/>
    <w:rsid w:val="00192FA1"/>
    <w:rsid w:val="00193EC1"/>
    <w:rsid w:val="001949BF"/>
    <w:rsid w:val="001A1064"/>
    <w:rsid w:val="001A1366"/>
    <w:rsid w:val="001A13A5"/>
    <w:rsid w:val="001A1AC9"/>
    <w:rsid w:val="001A2600"/>
    <w:rsid w:val="001A3BA4"/>
    <w:rsid w:val="001A3E91"/>
    <w:rsid w:val="001A5029"/>
    <w:rsid w:val="001A556D"/>
    <w:rsid w:val="001A6D1F"/>
    <w:rsid w:val="001A7663"/>
    <w:rsid w:val="001A784C"/>
    <w:rsid w:val="001A78A7"/>
    <w:rsid w:val="001B0E5C"/>
    <w:rsid w:val="001B186B"/>
    <w:rsid w:val="001B3673"/>
    <w:rsid w:val="001B540E"/>
    <w:rsid w:val="001B5A80"/>
    <w:rsid w:val="001B5F3E"/>
    <w:rsid w:val="001B6107"/>
    <w:rsid w:val="001B758E"/>
    <w:rsid w:val="001B764E"/>
    <w:rsid w:val="001B7FBF"/>
    <w:rsid w:val="001C1939"/>
    <w:rsid w:val="001C20C0"/>
    <w:rsid w:val="001C26AA"/>
    <w:rsid w:val="001C2C09"/>
    <w:rsid w:val="001C2CC1"/>
    <w:rsid w:val="001C4100"/>
    <w:rsid w:val="001C437A"/>
    <w:rsid w:val="001C54C3"/>
    <w:rsid w:val="001C68F6"/>
    <w:rsid w:val="001D3987"/>
    <w:rsid w:val="001D400A"/>
    <w:rsid w:val="001D4536"/>
    <w:rsid w:val="001D5EA1"/>
    <w:rsid w:val="001D7F1D"/>
    <w:rsid w:val="001D7FEF"/>
    <w:rsid w:val="001E2A5A"/>
    <w:rsid w:val="001E30F6"/>
    <w:rsid w:val="001E468D"/>
    <w:rsid w:val="001F21E1"/>
    <w:rsid w:val="001F40D4"/>
    <w:rsid w:val="001F5A11"/>
    <w:rsid w:val="001F65F0"/>
    <w:rsid w:val="00205549"/>
    <w:rsid w:val="0021300D"/>
    <w:rsid w:val="002135F4"/>
    <w:rsid w:val="00214360"/>
    <w:rsid w:val="00215705"/>
    <w:rsid w:val="00216EBB"/>
    <w:rsid w:val="00217EE5"/>
    <w:rsid w:val="00223711"/>
    <w:rsid w:val="00224206"/>
    <w:rsid w:val="002247B0"/>
    <w:rsid w:val="00224AC9"/>
    <w:rsid w:val="00224D3D"/>
    <w:rsid w:val="00225BFC"/>
    <w:rsid w:val="002272F1"/>
    <w:rsid w:val="00230D58"/>
    <w:rsid w:val="0023209A"/>
    <w:rsid w:val="00235F5C"/>
    <w:rsid w:val="00237F93"/>
    <w:rsid w:val="00244581"/>
    <w:rsid w:val="00244C0B"/>
    <w:rsid w:val="00245C9C"/>
    <w:rsid w:val="00247161"/>
    <w:rsid w:val="00250C2E"/>
    <w:rsid w:val="0025101C"/>
    <w:rsid w:val="00254763"/>
    <w:rsid w:val="00257FA3"/>
    <w:rsid w:val="0026278F"/>
    <w:rsid w:val="002649DA"/>
    <w:rsid w:val="00265080"/>
    <w:rsid w:val="002651CC"/>
    <w:rsid w:val="00265AB8"/>
    <w:rsid w:val="00266F46"/>
    <w:rsid w:val="00273846"/>
    <w:rsid w:val="002773BC"/>
    <w:rsid w:val="00277B56"/>
    <w:rsid w:val="002801E5"/>
    <w:rsid w:val="00280716"/>
    <w:rsid w:val="0028147B"/>
    <w:rsid w:val="002819A4"/>
    <w:rsid w:val="00282ECF"/>
    <w:rsid w:val="00284168"/>
    <w:rsid w:val="002846D7"/>
    <w:rsid w:val="002857FD"/>
    <w:rsid w:val="002874C4"/>
    <w:rsid w:val="00287C6A"/>
    <w:rsid w:val="00291E15"/>
    <w:rsid w:val="00293B1B"/>
    <w:rsid w:val="002950D2"/>
    <w:rsid w:val="00295138"/>
    <w:rsid w:val="00296387"/>
    <w:rsid w:val="00297301"/>
    <w:rsid w:val="00297C83"/>
    <w:rsid w:val="002A19F5"/>
    <w:rsid w:val="002A1DA4"/>
    <w:rsid w:val="002A2B6B"/>
    <w:rsid w:val="002A56B4"/>
    <w:rsid w:val="002A57C8"/>
    <w:rsid w:val="002A7001"/>
    <w:rsid w:val="002B0E41"/>
    <w:rsid w:val="002B2D9F"/>
    <w:rsid w:val="002B2EC1"/>
    <w:rsid w:val="002B3169"/>
    <w:rsid w:val="002B4375"/>
    <w:rsid w:val="002B4432"/>
    <w:rsid w:val="002B4922"/>
    <w:rsid w:val="002B5F3C"/>
    <w:rsid w:val="002B6E5C"/>
    <w:rsid w:val="002C00FF"/>
    <w:rsid w:val="002C18B2"/>
    <w:rsid w:val="002C1AC2"/>
    <w:rsid w:val="002C22C3"/>
    <w:rsid w:val="002C2C08"/>
    <w:rsid w:val="002C2D19"/>
    <w:rsid w:val="002C6967"/>
    <w:rsid w:val="002D10FA"/>
    <w:rsid w:val="002D1562"/>
    <w:rsid w:val="002D16BE"/>
    <w:rsid w:val="002D397D"/>
    <w:rsid w:val="002D4C55"/>
    <w:rsid w:val="002D4E51"/>
    <w:rsid w:val="002D7566"/>
    <w:rsid w:val="002D7AF5"/>
    <w:rsid w:val="002E1FD0"/>
    <w:rsid w:val="002E20F9"/>
    <w:rsid w:val="002E2780"/>
    <w:rsid w:val="002E2C24"/>
    <w:rsid w:val="002E4FCE"/>
    <w:rsid w:val="002E6CA8"/>
    <w:rsid w:val="002E6DED"/>
    <w:rsid w:val="002E7C64"/>
    <w:rsid w:val="002F1973"/>
    <w:rsid w:val="002F21A9"/>
    <w:rsid w:val="002F239D"/>
    <w:rsid w:val="002F2CA4"/>
    <w:rsid w:val="002F345F"/>
    <w:rsid w:val="002F3B3D"/>
    <w:rsid w:val="002F426C"/>
    <w:rsid w:val="002F5C99"/>
    <w:rsid w:val="002F7266"/>
    <w:rsid w:val="00300956"/>
    <w:rsid w:val="00301910"/>
    <w:rsid w:val="00301A88"/>
    <w:rsid w:val="00301B2F"/>
    <w:rsid w:val="00304F70"/>
    <w:rsid w:val="00306C2D"/>
    <w:rsid w:val="00307B7A"/>
    <w:rsid w:val="00307EAF"/>
    <w:rsid w:val="00310B98"/>
    <w:rsid w:val="003113FF"/>
    <w:rsid w:val="00313FCD"/>
    <w:rsid w:val="00315C8E"/>
    <w:rsid w:val="00317187"/>
    <w:rsid w:val="00321F4E"/>
    <w:rsid w:val="00322032"/>
    <w:rsid w:val="0032432C"/>
    <w:rsid w:val="0032499A"/>
    <w:rsid w:val="00324DD7"/>
    <w:rsid w:val="00327B96"/>
    <w:rsid w:val="003300D0"/>
    <w:rsid w:val="003307BE"/>
    <w:rsid w:val="0033154F"/>
    <w:rsid w:val="00332F16"/>
    <w:rsid w:val="0033387B"/>
    <w:rsid w:val="003341F7"/>
    <w:rsid w:val="00336829"/>
    <w:rsid w:val="00340999"/>
    <w:rsid w:val="00341F36"/>
    <w:rsid w:val="00342929"/>
    <w:rsid w:val="003431B2"/>
    <w:rsid w:val="00343516"/>
    <w:rsid w:val="00343C23"/>
    <w:rsid w:val="003440DC"/>
    <w:rsid w:val="00346C42"/>
    <w:rsid w:val="00347FEC"/>
    <w:rsid w:val="003514D6"/>
    <w:rsid w:val="00354764"/>
    <w:rsid w:val="00354D60"/>
    <w:rsid w:val="00356B82"/>
    <w:rsid w:val="00356F45"/>
    <w:rsid w:val="00357F31"/>
    <w:rsid w:val="003624CB"/>
    <w:rsid w:val="00362E90"/>
    <w:rsid w:val="003633F4"/>
    <w:rsid w:val="00363FC6"/>
    <w:rsid w:val="00364D8D"/>
    <w:rsid w:val="0036541E"/>
    <w:rsid w:val="00365E34"/>
    <w:rsid w:val="003668AC"/>
    <w:rsid w:val="00366B74"/>
    <w:rsid w:val="003670A8"/>
    <w:rsid w:val="00367DF8"/>
    <w:rsid w:val="00371D79"/>
    <w:rsid w:val="00375008"/>
    <w:rsid w:val="003757BA"/>
    <w:rsid w:val="00382B86"/>
    <w:rsid w:val="0038318C"/>
    <w:rsid w:val="0038446D"/>
    <w:rsid w:val="00384EF5"/>
    <w:rsid w:val="0038754F"/>
    <w:rsid w:val="003905E0"/>
    <w:rsid w:val="003917AE"/>
    <w:rsid w:val="00391EA0"/>
    <w:rsid w:val="00395D8E"/>
    <w:rsid w:val="003968A4"/>
    <w:rsid w:val="003969FF"/>
    <w:rsid w:val="00396BDE"/>
    <w:rsid w:val="003A264B"/>
    <w:rsid w:val="003A2B16"/>
    <w:rsid w:val="003A37D6"/>
    <w:rsid w:val="003A3B57"/>
    <w:rsid w:val="003A5051"/>
    <w:rsid w:val="003A526D"/>
    <w:rsid w:val="003A5553"/>
    <w:rsid w:val="003A5830"/>
    <w:rsid w:val="003A58C0"/>
    <w:rsid w:val="003A5E81"/>
    <w:rsid w:val="003A710A"/>
    <w:rsid w:val="003A7C84"/>
    <w:rsid w:val="003B237E"/>
    <w:rsid w:val="003B2533"/>
    <w:rsid w:val="003B26D6"/>
    <w:rsid w:val="003B2ED9"/>
    <w:rsid w:val="003B3576"/>
    <w:rsid w:val="003B50C9"/>
    <w:rsid w:val="003B5D77"/>
    <w:rsid w:val="003B659E"/>
    <w:rsid w:val="003B7197"/>
    <w:rsid w:val="003B7F24"/>
    <w:rsid w:val="003C1669"/>
    <w:rsid w:val="003C275E"/>
    <w:rsid w:val="003C4C84"/>
    <w:rsid w:val="003C4D7D"/>
    <w:rsid w:val="003C6320"/>
    <w:rsid w:val="003C6BD1"/>
    <w:rsid w:val="003E081D"/>
    <w:rsid w:val="003E37C5"/>
    <w:rsid w:val="003E53A1"/>
    <w:rsid w:val="003E58DF"/>
    <w:rsid w:val="003E624E"/>
    <w:rsid w:val="003E6396"/>
    <w:rsid w:val="003F0403"/>
    <w:rsid w:val="003F1ED9"/>
    <w:rsid w:val="003F3239"/>
    <w:rsid w:val="003F351B"/>
    <w:rsid w:val="003F5133"/>
    <w:rsid w:val="003F553C"/>
    <w:rsid w:val="003F5B19"/>
    <w:rsid w:val="003F678A"/>
    <w:rsid w:val="00400C3A"/>
    <w:rsid w:val="00403527"/>
    <w:rsid w:val="00403DF5"/>
    <w:rsid w:val="0040405F"/>
    <w:rsid w:val="00404C4C"/>
    <w:rsid w:val="004103E6"/>
    <w:rsid w:val="00411ADF"/>
    <w:rsid w:val="004124A3"/>
    <w:rsid w:val="0041423F"/>
    <w:rsid w:val="00414BD8"/>
    <w:rsid w:val="00414F81"/>
    <w:rsid w:val="00423A15"/>
    <w:rsid w:val="00424C43"/>
    <w:rsid w:val="0042568C"/>
    <w:rsid w:val="00425A6E"/>
    <w:rsid w:val="00426B97"/>
    <w:rsid w:val="00431C13"/>
    <w:rsid w:val="0043254E"/>
    <w:rsid w:val="00434458"/>
    <w:rsid w:val="00436A0F"/>
    <w:rsid w:val="00437150"/>
    <w:rsid w:val="0043750A"/>
    <w:rsid w:val="00437714"/>
    <w:rsid w:val="0043791E"/>
    <w:rsid w:val="00440C54"/>
    <w:rsid w:val="00446514"/>
    <w:rsid w:val="0044696F"/>
    <w:rsid w:val="00447209"/>
    <w:rsid w:val="004510F7"/>
    <w:rsid w:val="004512D4"/>
    <w:rsid w:val="00453368"/>
    <w:rsid w:val="004550AD"/>
    <w:rsid w:val="004605E6"/>
    <w:rsid w:val="00460A0D"/>
    <w:rsid w:val="00462CB9"/>
    <w:rsid w:val="004648E6"/>
    <w:rsid w:val="00464E27"/>
    <w:rsid w:val="0046515C"/>
    <w:rsid w:val="00465480"/>
    <w:rsid w:val="00465BFF"/>
    <w:rsid w:val="00466DD5"/>
    <w:rsid w:val="00467C9F"/>
    <w:rsid w:val="004716EE"/>
    <w:rsid w:val="004732E9"/>
    <w:rsid w:val="00476393"/>
    <w:rsid w:val="004763EF"/>
    <w:rsid w:val="004800BA"/>
    <w:rsid w:val="00481806"/>
    <w:rsid w:val="004854BB"/>
    <w:rsid w:val="00487A10"/>
    <w:rsid w:val="004902EC"/>
    <w:rsid w:val="00491578"/>
    <w:rsid w:val="004915AD"/>
    <w:rsid w:val="00493A10"/>
    <w:rsid w:val="004941A1"/>
    <w:rsid w:val="0049646C"/>
    <w:rsid w:val="00496606"/>
    <w:rsid w:val="004A2523"/>
    <w:rsid w:val="004A2F79"/>
    <w:rsid w:val="004A7CD9"/>
    <w:rsid w:val="004A7D81"/>
    <w:rsid w:val="004B19DF"/>
    <w:rsid w:val="004B2883"/>
    <w:rsid w:val="004B3541"/>
    <w:rsid w:val="004B7802"/>
    <w:rsid w:val="004B780D"/>
    <w:rsid w:val="004B7B86"/>
    <w:rsid w:val="004C1367"/>
    <w:rsid w:val="004C140C"/>
    <w:rsid w:val="004C15ED"/>
    <w:rsid w:val="004C2739"/>
    <w:rsid w:val="004D06D0"/>
    <w:rsid w:val="004D119A"/>
    <w:rsid w:val="004D162E"/>
    <w:rsid w:val="004D41FF"/>
    <w:rsid w:val="004D4923"/>
    <w:rsid w:val="004D6B62"/>
    <w:rsid w:val="004E0217"/>
    <w:rsid w:val="004E403D"/>
    <w:rsid w:val="004E5E66"/>
    <w:rsid w:val="004E6ADC"/>
    <w:rsid w:val="004E6D24"/>
    <w:rsid w:val="004E7ADB"/>
    <w:rsid w:val="004F08E4"/>
    <w:rsid w:val="004F1E7E"/>
    <w:rsid w:val="004F1FC2"/>
    <w:rsid w:val="004F23A6"/>
    <w:rsid w:val="004F2B4B"/>
    <w:rsid w:val="004F2B62"/>
    <w:rsid w:val="004F3454"/>
    <w:rsid w:val="004F54B1"/>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21576"/>
    <w:rsid w:val="0052177F"/>
    <w:rsid w:val="0052476C"/>
    <w:rsid w:val="00524C2F"/>
    <w:rsid w:val="005250E6"/>
    <w:rsid w:val="00527848"/>
    <w:rsid w:val="005326CE"/>
    <w:rsid w:val="005328AC"/>
    <w:rsid w:val="005351A7"/>
    <w:rsid w:val="00535E9D"/>
    <w:rsid w:val="005364D5"/>
    <w:rsid w:val="00542D23"/>
    <w:rsid w:val="0054442C"/>
    <w:rsid w:val="0054497F"/>
    <w:rsid w:val="0054636F"/>
    <w:rsid w:val="005501D6"/>
    <w:rsid w:val="00550285"/>
    <w:rsid w:val="0055090A"/>
    <w:rsid w:val="00552D25"/>
    <w:rsid w:val="005558D6"/>
    <w:rsid w:val="005568E1"/>
    <w:rsid w:val="00557366"/>
    <w:rsid w:val="00557B0C"/>
    <w:rsid w:val="005604AD"/>
    <w:rsid w:val="0056237B"/>
    <w:rsid w:val="00562492"/>
    <w:rsid w:val="00564C36"/>
    <w:rsid w:val="00564ED4"/>
    <w:rsid w:val="005662DF"/>
    <w:rsid w:val="005665F4"/>
    <w:rsid w:val="00567018"/>
    <w:rsid w:val="00572A20"/>
    <w:rsid w:val="00573D50"/>
    <w:rsid w:val="00574E9D"/>
    <w:rsid w:val="00574F45"/>
    <w:rsid w:val="005755E9"/>
    <w:rsid w:val="00575E39"/>
    <w:rsid w:val="005820FC"/>
    <w:rsid w:val="00582496"/>
    <w:rsid w:val="00582CA5"/>
    <w:rsid w:val="005834D2"/>
    <w:rsid w:val="005836F8"/>
    <w:rsid w:val="00583B9A"/>
    <w:rsid w:val="00584607"/>
    <w:rsid w:val="0059051A"/>
    <w:rsid w:val="005918FA"/>
    <w:rsid w:val="00592867"/>
    <w:rsid w:val="00592A86"/>
    <w:rsid w:val="00595837"/>
    <w:rsid w:val="005A2C89"/>
    <w:rsid w:val="005A2EEC"/>
    <w:rsid w:val="005B032E"/>
    <w:rsid w:val="005B0688"/>
    <w:rsid w:val="005B0CBD"/>
    <w:rsid w:val="005B1F18"/>
    <w:rsid w:val="005B349A"/>
    <w:rsid w:val="005B4801"/>
    <w:rsid w:val="005B6228"/>
    <w:rsid w:val="005B6B9F"/>
    <w:rsid w:val="005C121E"/>
    <w:rsid w:val="005C22CC"/>
    <w:rsid w:val="005C23A4"/>
    <w:rsid w:val="005C2662"/>
    <w:rsid w:val="005C2BC6"/>
    <w:rsid w:val="005C6CB9"/>
    <w:rsid w:val="005C703D"/>
    <w:rsid w:val="005C7C73"/>
    <w:rsid w:val="005D06CC"/>
    <w:rsid w:val="005D0AFB"/>
    <w:rsid w:val="005D0C1C"/>
    <w:rsid w:val="005D1CDF"/>
    <w:rsid w:val="005D2BB7"/>
    <w:rsid w:val="005D3C3F"/>
    <w:rsid w:val="005D507C"/>
    <w:rsid w:val="005D50D8"/>
    <w:rsid w:val="005D5B7D"/>
    <w:rsid w:val="005E0A1D"/>
    <w:rsid w:val="005E0D72"/>
    <w:rsid w:val="005E3174"/>
    <w:rsid w:val="005E3ABC"/>
    <w:rsid w:val="005E5BC1"/>
    <w:rsid w:val="005E61A8"/>
    <w:rsid w:val="005F1331"/>
    <w:rsid w:val="005F27A1"/>
    <w:rsid w:val="005F57A5"/>
    <w:rsid w:val="005F5E6D"/>
    <w:rsid w:val="005F6419"/>
    <w:rsid w:val="005F7180"/>
    <w:rsid w:val="00600E17"/>
    <w:rsid w:val="00601C43"/>
    <w:rsid w:val="00602398"/>
    <w:rsid w:val="0060346C"/>
    <w:rsid w:val="006045A2"/>
    <w:rsid w:val="0060543D"/>
    <w:rsid w:val="006104DD"/>
    <w:rsid w:val="00610688"/>
    <w:rsid w:val="00612694"/>
    <w:rsid w:val="006130B5"/>
    <w:rsid w:val="0061730E"/>
    <w:rsid w:val="00617400"/>
    <w:rsid w:val="006317FA"/>
    <w:rsid w:val="00632D29"/>
    <w:rsid w:val="00632F81"/>
    <w:rsid w:val="0063311B"/>
    <w:rsid w:val="0063311F"/>
    <w:rsid w:val="00633400"/>
    <w:rsid w:val="0063572D"/>
    <w:rsid w:val="00636216"/>
    <w:rsid w:val="00636D5A"/>
    <w:rsid w:val="00640653"/>
    <w:rsid w:val="006467EE"/>
    <w:rsid w:val="006502BC"/>
    <w:rsid w:val="00650CEC"/>
    <w:rsid w:val="00652738"/>
    <w:rsid w:val="006544B7"/>
    <w:rsid w:val="00661AF9"/>
    <w:rsid w:val="0066323F"/>
    <w:rsid w:val="00663B14"/>
    <w:rsid w:val="00664950"/>
    <w:rsid w:val="00664D14"/>
    <w:rsid w:val="00665699"/>
    <w:rsid w:val="00665970"/>
    <w:rsid w:val="00666E20"/>
    <w:rsid w:val="0067054A"/>
    <w:rsid w:val="00670922"/>
    <w:rsid w:val="00673D51"/>
    <w:rsid w:val="00675F79"/>
    <w:rsid w:val="00676451"/>
    <w:rsid w:val="00677E6C"/>
    <w:rsid w:val="00677F49"/>
    <w:rsid w:val="00681434"/>
    <w:rsid w:val="006831A7"/>
    <w:rsid w:val="00683220"/>
    <w:rsid w:val="006835C9"/>
    <w:rsid w:val="00683B17"/>
    <w:rsid w:val="006843A9"/>
    <w:rsid w:val="00686CB2"/>
    <w:rsid w:val="00687FA0"/>
    <w:rsid w:val="006937FF"/>
    <w:rsid w:val="006944A8"/>
    <w:rsid w:val="00694569"/>
    <w:rsid w:val="00695D66"/>
    <w:rsid w:val="006967A3"/>
    <w:rsid w:val="00697542"/>
    <w:rsid w:val="006A1C56"/>
    <w:rsid w:val="006A1DD9"/>
    <w:rsid w:val="006A1EC4"/>
    <w:rsid w:val="006A2A68"/>
    <w:rsid w:val="006A2D57"/>
    <w:rsid w:val="006A3C11"/>
    <w:rsid w:val="006A6DE5"/>
    <w:rsid w:val="006A70A3"/>
    <w:rsid w:val="006A7CA9"/>
    <w:rsid w:val="006B21EB"/>
    <w:rsid w:val="006B27BF"/>
    <w:rsid w:val="006B4D4C"/>
    <w:rsid w:val="006B4DCA"/>
    <w:rsid w:val="006B57AB"/>
    <w:rsid w:val="006B7010"/>
    <w:rsid w:val="006B7611"/>
    <w:rsid w:val="006B7885"/>
    <w:rsid w:val="006C08C3"/>
    <w:rsid w:val="006C0AA7"/>
    <w:rsid w:val="006C0D74"/>
    <w:rsid w:val="006C1676"/>
    <w:rsid w:val="006C2A8B"/>
    <w:rsid w:val="006C3095"/>
    <w:rsid w:val="006C55EA"/>
    <w:rsid w:val="006D153C"/>
    <w:rsid w:val="006D3AAA"/>
    <w:rsid w:val="006D7FF6"/>
    <w:rsid w:val="006E0210"/>
    <w:rsid w:val="006E1151"/>
    <w:rsid w:val="006E183A"/>
    <w:rsid w:val="006E32D8"/>
    <w:rsid w:val="006E4AB5"/>
    <w:rsid w:val="006E4BA8"/>
    <w:rsid w:val="006E6311"/>
    <w:rsid w:val="006E7E7C"/>
    <w:rsid w:val="006F0282"/>
    <w:rsid w:val="006F19AA"/>
    <w:rsid w:val="006F19DB"/>
    <w:rsid w:val="006F1A53"/>
    <w:rsid w:val="006F24AA"/>
    <w:rsid w:val="006F2B7C"/>
    <w:rsid w:val="006F4395"/>
    <w:rsid w:val="006F4A30"/>
    <w:rsid w:val="006F4DF5"/>
    <w:rsid w:val="006F64C6"/>
    <w:rsid w:val="00701396"/>
    <w:rsid w:val="00701472"/>
    <w:rsid w:val="0070148E"/>
    <w:rsid w:val="00701DC5"/>
    <w:rsid w:val="0070380D"/>
    <w:rsid w:val="00704740"/>
    <w:rsid w:val="00704A89"/>
    <w:rsid w:val="00704AF7"/>
    <w:rsid w:val="00705252"/>
    <w:rsid w:val="00705AD5"/>
    <w:rsid w:val="00710164"/>
    <w:rsid w:val="00711532"/>
    <w:rsid w:val="00711C52"/>
    <w:rsid w:val="00712558"/>
    <w:rsid w:val="007137DB"/>
    <w:rsid w:val="007145FF"/>
    <w:rsid w:val="0071492E"/>
    <w:rsid w:val="00715B2A"/>
    <w:rsid w:val="0072007B"/>
    <w:rsid w:val="007217E9"/>
    <w:rsid w:val="007304A9"/>
    <w:rsid w:val="00731C7C"/>
    <w:rsid w:val="007353DA"/>
    <w:rsid w:val="007406B5"/>
    <w:rsid w:val="00740768"/>
    <w:rsid w:val="00743239"/>
    <w:rsid w:val="007444EF"/>
    <w:rsid w:val="00744AA7"/>
    <w:rsid w:val="007450F1"/>
    <w:rsid w:val="00746C7F"/>
    <w:rsid w:val="0074729F"/>
    <w:rsid w:val="00751515"/>
    <w:rsid w:val="00754D82"/>
    <w:rsid w:val="007558EE"/>
    <w:rsid w:val="00760C28"/>
    <w:rsid w:val="00762552"/>
    <w:rsid w:val="007626B7"/>
    <w:rsid w:val="00763664"/>
    <w:rsid w:val="00764168"/>
    <w:rsid w:val="00766D83"/>
    <w:rsid w:val="00770380"/>
    <w:rsid w:val="00770D8D"/>
    <w:rsid w:val="00770EE8"/>
    <w:rsid w:val="00772B98"/>
    <w:rsid w:val="00774B07"/>
    <w:rsid w:val="00776A8F"/>
    <w:rsid w:val="007812D3"/>
    <w:rsid w:val="0078212B"/>
    <w:rsid w:val="00782DD2"/>
    <w:rsid w:val="007842DE"/>
    <w:rsid w:val="00784CFF"/>
    <w:rsid w:val="00784DF6"/>
    <w:rsid w:val="00785232"/>
    <w:rsid w:val="007901CB"/>
    <w:rsid w:val="00790EC5"/>
    <w:rsid w:val="00792037"/>
    <w:rsid w:val="007933D6"/>
    <w:rsid w:val="00794890"/>
    <w:rsid w:val="00795E74"/>
    <w:rsid w:val="007960AD"/>
    <w:rsid w:val="00797496"/>
    <w:rsid w:val="007976BB"/>
    <w:rsid w:val="00797B30"/>
    <w:rsid w:val="007A267F"/>
    <w:rsid w:val="007A5AE9"/>
    <w:rsid w:val="007A5FCC"/>
    <w:rsid w:val="007A6F75"/>
    <w:rsid w:val="007A7BFC"/>
    <w:rsid w:val="007B019D"/>
    <w:rsid w:val="007B0B16"/>
    <w:rsid w:val="007B186C"/>
    <w:rsid w:val="007B1928"/>
    <w:rsid w:val="007B1EBA"/>
    <w:rsid w:val="007B20D5"/>
    <w:rsid w:val="007B51BA"/>
    <w:rsid w:val="007B5857"/>
    <w:rsid w:val="007C04ED"/>
    <w:rsid w:val="007C0A13"/>
    <w:rsid w:val="007C1696"/>
    <w:rsid w:val="007C1DAC"/>
    <w:rsid w:val="007C2502"/>
    <w:rsid w:val="007C2B98"/>
    <w:rsid w:val="007C3CEC"/>
    <w:rsid w:val="007C3ED0"/>
    <w:rsid w:val="007C58C3"/>
    <w:rsid w:val="007C5971"/>
    <w:rsid w:val="007C691A"/>
    <w:rsid w:val="007C7B08"/>
    <w:rsid w:val="007D332E"/>
    <w:rsid w:val="007D3646"/>
    <w:rsid w:val="007D4532"/>
    <w:rsid w:val="007D5414"/>
    <w:rsid w:val="007D67D2"/>
    <w:rsid w:val="007D74E5"/>
    <w:rsid w:val="007D75E0"/>
    <w:rsid w:val="007E1C0E"/>
    <w:rsid w:val="007E2108"/>
    <w:rsid w:val="007E248C"/>
    <w:rsid w:val="007E63A1"/>
    <w:rsid w:val="007F0322"/>
    <w:rsid w:val="007F05DB"/>
    <w:rsid w:val="007F0E52"/>
    <w:rsid w:val="007F2039"/>
    <w:rsid w:val="007F218E"/>
    <w:rsid w:val="007F47A1"/>
    <w:rsid w:val="007F54B9"/>
    <w:rsid w:val="008008E6"/>
    <w:rsid w:val="00802BE3"/>
    <w:rsid w:val="00805FCB"/>
    <w:rsid w:val="00806A76"/>
    <w:rsid w:val="00806B1C"/>
    <w:rsid w:val="00807220"/>
    <w:rsid w:val="00807D70"/>
    <w:rsid w:val="008102CD"/>
    <w:rsid w:val="00811C9D"/>
    <w:rsid w:val="00811ED7"/>
    <w:rsid w:val="00812CAB"/>
    <w:rsid w:val="008147AB"/>
    <w:rsid w:val="00814D55"/>
    <w:rsid w:val="008155C5"/>
    <w:rsid w:val="00815FB7"/>
    <w:rsid w:val="008168CF"/>
    <w:rsid w:val="00816C80"/>
    <w:rsid w:val="008212E2"/>
    <w:rsid w:val="00821546"/>
    <w:rsid w:val="0082182C"/>
    <w:rsid w:val="008243C7"/>
    <w:rsid w:val="0082559E"/>
    <w:rsid w:val="00832751"/>
    <w:rsid w:val="0083307F"/>
    <w:rsid w:val="008412D0"/>
    <w:rsid w:val="008413EB"/>
    <w:rsid w:val="00841BCD"/>
    <w:rsid w:val="00841CDC"/>
    <w:rsid w:val="008420D7"/>
    <w:rsid w:val="00842598"/>
    <w:rsid w:val="00844685"/>
    <w:rsid w:val="0084530A"/>
    <w:rsid w:val="00846BB9"/>
    <w:rsid w:val="0084753A"/>
    <w:rsid w:val="00850F5F"/>
    <w:rsid w:val="008519E8"/>
    <w:rsid w:val="00851A8E"/>
    <w:rsid w:val="008532E6"/>
    <w:rsid w:val="0085365B"/>
    <w:rsid w:val="00853A45"/>
    <w:rsid w:val="00855EFC"/>
    <w:rsid w:val="00856563"/>
    <w:rsid w:val="0085704D"/>
    <w:rsid w:val="008617DF"/>
    <w:rsid w:val="00862F39"/>
    <w:rsid w:val="00863592"/>
    <w:rsid w:val="008641DB"/>
    <w:rsid w:val="0086481B"/>
    <w:rsid w:val="00865E3C"/>
    <w:rsid w:val="008668A1"/>
    <w:rsid w:val="00871829"/>
    <w:rsid w:val="00871E99"/>
    <w:rsid w:val="00871F95"/>
    <w:rsid w:val="0087225A"/>
    <w:rsid w:val="00872EDC"/>
    <w:rsid w:val="0087361C"/>
    <w:rsid w:val="00874C6B"/>
    <w:rsid w:val="00876AB4"/>
    <w:rsid w:val="008772DA"/>
    <w:rsid w:val="008773E8"/>
    <w:rsid w:val="008809A4"/>
    <w:rsid w:val="008826C1"/>
    <w:rsid w:val="00882B18"/>
    <w:rsid w:val="00882CA6"/>
    <w:rsid w:val="00883DFD"/>
    <w:rsid w:val="0088538B"/>
    <w:rsid w:val="00886A41"/>
    <w:rsid w:val="00887983"/>
    <w:rsid w:val="00887BDA"/>
    <w:rsid w:val="00890275"/>
    <w:rsid w:val="00891007"/>
    <w:rsid w:val="00896169"/>
    <w:rsid w:val="00896943"/>
    <w:rsid w:val="008A1473"/>
    <w:rsid w:val="008A1BF7"/>
    <w:rsid w:val="008A1FD0"/>
    <w:rsid w:val="008A3FBB"/>
    <w:rsid w:val="008A5B0E"/>
    <w:rsid w:val="008A7F83"/>
    <w:rsid w:val="008B0961"/>
    <w:rsid w:val="008B3BFB"/>
    <w:rsid w:val="008B4864"/>
    <w:rsid w:val="008C1157"/>
    <w:rsid w:val="008C15DF"/>
    <w:rsid w:val="008C46FE"/>
    <w:rsid w:val="008C73A4"/>
    <w:rsid w:val="008C77E3"/>
    <w:rsid w:val="008D1C87"/>
    <w:rsid w:val="008D3ADA"/>
    <w:rsid w:val="008D3C6D"/>
    <w:rsid w:val="008D57E4"/>
    <w:rsid w:val="008E0EFD"/>
    <w:rsid w:val="008E2C2E"/>
    <w:rsid w:val="008E2DD8"/>
    <w:rsid w:val="008E521A"/>
    <w:rsid w:val="008E5B14"/>
    <w:rsid w:val="008F1D5C"/>
    <w:rsid w:val="008F4301"/>
    <w:rsid w:val="008F43FC"/>
    <w:rsid w:val="008F4F1D"/>
    <w:rsid w:val="008F61E4"/>
    <w:rsid w:val="008F6402"/>
    <w:rsid w:val="008F7DFA"/>
    <w:rsid w:val="0090091A"/>
    <w:rsid w:val="00900DBD"/>
    <w:rsid w:val="00901C4D"/>
    <w:rsid w:val="00903FBC"/>
    <w:rsid w:val="009042BD"/>
    <w:rsid w:val="009077F8"/>
    <w:rsid w:val="009110C7"/>
    <w:rsid w:val="00911906"/>
    <w:rsid w:val="00913E1C"/>
    <w:rsid w:val="00915767"/>
    <w:rsid w:val="009213C0"/>
    <w:rsid w:val="00921F6D"/>
    <w:rsid w:val="00924B35"/>
    <w:rsid w:val="00924E2E"/>
    <w:rsid w:val="0092507A"/>
    <w:rsid w:val="00925BEF"/>
    <w:rsid w:val="00925D74"/>
    <w:rsid w:val="0092684D"/>
    <w:rsid w:val="00927DF7"/>
    <w:rsid w:val="00931BA0"/>
    <w:rsid w:val="00933CEE"/>
    <w:rsid w:val="00933FAA"/>
    <w:rsid w:val="009345F0"/>
    <w:rsid w:val="00935372"/>
    <w:rsid w:val="00936159"/>
    <w:rsid w:val="009363CF"/>
    <w:rsid w:val="00936632"/>
    <w:rsid w:val="00937390"/>
    <w:rsid w:val="009378D9"/>
    <w:rsid w:val="00937A7A"/>
    <w:rsid w:val="00937BB3"/>
    <w:rsid w:val="00941C37"/>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5450"/>
    <w:rsid w:val="00955AD0"/>
    <w:rsid w:val="00956F17"/>
    <w:rsid w:val="009617D5"/>
    <w:rsid w:val="0096407A"/>
    <w:rsid w:val="00964906"/>
    <w:rsid w:val="00965367"/>
    <w:rsid w:val="00973F0E"/>
    <w:rsid w:val="00975B44"/>
    <w:rsid w:val="00977E1D"/>
    <w:rsid w:val="00980756"/>
    <w:rsid w:val="00984F0C"/>
    <w:rsid w:val="00991629"/>
    <w:rsid w:val="00996556"/>
    <w:rsid w:val="009973CC"/>
    <w:rsid w:val="009A0852"/>
    <w:rsid w:val="009A14FF"/>
    <w:rsid w:val="009A41DD"/>
    <w:rsid w:val="009A424F"/>
    <w:rsid w:val="009A6F19"/>
    <w:rsid w:val="009B0573"/>
    <w:rsid w:val="009B1172"/>
    <w:rsid w:val="009B2A0C"/>
    <w:rsid w:val="009B3652"/>
    <w:rsid w:val="009B490E"/>
    <w:rsid w:val="009B5D6B"/>
    <w:rsid w:val="009B6A30"/>
    <w:rsid w:val="009B6AEA"/>
    <w:rsid w:val="009B77A4"/>
    <w:rsid w:val="009B7B4B"/>
    <w:rsid w:val="009B7C21"/>
    <w:rsid w:val="009C01EF"/>
    <w:rsid w:val="009C052B"/>
    <w:rsid w:val="009C112F"/>
    <w:rsid w:val="009C1C85"/>
    <w:rsid w:val="009C3757"/>
    <w:rsid w:val="009C42E1"/>
    <w:rsid w:val="009C500E"/>
    <w:rsid w:val="009C6294"/>
    <w:rsid w:val="009C62B3"/>
    <w:rsid w:val="009D1FD3"/>
    <w:rsid w:val="009D5112"/>
    <w:rsid w:val="009D6C9D"/>
    <w:rsid w:val="009E0427"/>
    <w:rsid w:val="009E1E66"/>
    <w:rsid w:val="009E2849"/>
    <w:rsid w:val="009E3301"/>
    <w:rsid w:val="009E5714"/>
    <w:rsid w:val="009E64EF"/>
    <w:rsid w:val="009E6ABE"/>
    <w:rsid w:val="009E6EA5"/>
    <w:rsid w:val="009E7AE5"/>
    <w:rsid w:val="009F0C2E"/>
    <w:rsid w:val="009F14CE"/>
    <w:rsid w:val="009F2C46"/>
    <w:rsid w:val="009F38A4"/>
    <w:rsid w:val="009F5119"/>
    <w:rsid w:val="00A022DD"/>
    <w:rsid w:val="00A0320A"/>
    <w:rsid w:val="00A039CF"/>
    <w:rsid w:val="00A042C4"/>
    <w:rsid w:val="00A04992"/>
    <w:rsid w:val="00A04C5D"/>
    <w:rsid w:val="00A05E8C"/>
    <w:rsid w:val="00A05FF2"/>
    <w:rsid w:val="00A076A4"/>
    <w:rsid w:val="00A07B8F"/>
    <w:rsid w:val="00A120A6"/>
    <w:rsid w:val="00A134A2"/>
    <w:rsid w:val="00A135BB"/>
    <w:rsid w:val="00A14365"/>
    <w:rsid w:val="00A147AA"/>
    <w:rsid w:val="00A17883"/>
    <w:rsid w:val="00A20653"/>
    <w:rsid w:val="00A219FA"/>
    <w:rsid w:val="00A21D71"/>
    <w:rsid w:val="00A222AF"/>
    <w:rsid w:val="00A22B78"/>
    <w:rsid w:val="00A238A7"/>
    <w:rsid w:val="00A2505B"/>
    <w:rsid w:val="00A25AE5"/>
    <w:rsid w:val="00A271A3"/>
    <w:rsid w:val="00A27BB4"/>
    <w:rsid w:val="00A301D5"/>
    <w:rsid w:val="00A30DB3"/>
    <w:rsid w:val="00A32309"/>
    <w:rsid w:val="00A341B7"/>
    <w:rsid w:val="00A35894"/>
    <w:rsid w:val="00A37002"/>
    <w:rsid w:val="00A40854"/>
    <w:rsid w:val="00A4355E"/>
    <w:rsid w:val="00A43F83"/>
    <w:rsid w:val="00A443C3"/>
    <w:rsid w:val="00A4683C"/>
    <w:rsid w:val="00A46D6D"/>
    <w:rsid w:val="00A57DB3"/>
    <w:rsid w:val="00A60E6B"/>
    <w:rsid w:val="00A66E5C"/>
    <w:rsid w:val="00A70D2B"/>
    <w:rsid w:val="00A71077"/>
    <w:rsid w:val="00A71259"/>
    <w:rsid w:val="00A75CA8"/>
    <w:rsid w:val="00A7727E"/>
    <w:rsid w:val="00A77312"/>
    <w:rsid w:val="00A8137A"/>
    <w:rsid w:val="00A82142"/>
    <w:rsid w:val="00A84F16"/>
    <w:rsid w:val="00A85680"/>
    <w:rsid w:val="00A85728"/>
    <w:rsid w:val="00A90693"/>
    <w:rsid w:val="00A92BCD"/>
    <w:rsid w:val="00A935F3"/>
    <w:rsid w:val="00A93841"/>
    <w:rsid w:val="00A973ED"/>
    <w:rsid w:val="00AA1B0E"/>
    <w:rsid w:val="00AA1FF3"/>
    <w:rsid w:val="00AA32BF"/>
    <w:rsid w:val="00AA40CB"/>
    <w:rsid w:val="00AA47B6"/>
    <w:rsid w:val="00AA7140"/>
    <w:rsid w:val="00AB01CA"/>
    <w:rsid w:val="00AB041D"/>
    <w:rsid w:val="00AB6E80"/>
    <w:rsid w:val="00AB7151"/>
    <w:rsid w:val="00AB74B2"/>
    <w:rsid w:val="00AB7BA8"/>
    <w:rsid w:val="00AC0DFD"/>
    <w:rsid w:val="00AC163B"/>
    <w:rsid w:val="00AC32A2"/>
    <w:rsid w:val="00AC5631"/>
    <w:rsid w:val="00AC5CA7"/>
    <w:rsid w:val="00AC6058"/>
    <w:rsid w:val="00AC6D69"/>
    <w:rsid w:val="00AD2612"/>
    <w:rsid w:val="00AD3B2B"/>
    <w:rsid w:val="00AD5815"/>
    <w:rsid w:val="00AD63B0"/>
    <w:rsid w:val="00AD64A2"/>
    <w:rsid w:val="00AD79BF"/>
    <w:rsid w:val="00AD7C6B"/>
    <w:rsid w:val="00AE1729"/>
    <w:rsid w:val="00AE1929"/>
    <w:rsid w:val="00AE2BA5"/>
    <w:rsid w:val="00AE56B1"/>
    <w:rsid w:val="00AE6D09"/>
    <w:rsid w:val="00AF52E5"/>
    <w:rsid w:val="00AF6A60"/>
    <w:rsid w:val="00AF7A7C"/>
    <w:rsid w:val="00B02207"/>
    <w:rsid w:val="00B03B5D"/>
    <w:rsid w:val="00B06525"/>
    <w:rsid w:val="00B0703E"/>
    <w:rsid w:val="00B10694"/>
    <w:rsid w:val="00B1070B"/>
    <w:rsid w:val="00B10C61"/>
    <w:rsid w:val="00B14AEF"/>
    <w:rsid w:val="00B14F1D"/>
    <w:rsid w:val="00B15ECD"/>
    <w:rsid w:val="00B171EE"/>
    <w:rsid w:val="00B1733F"/>
    <w:rsid w:val="00B23F36"/>
    <w:rsid w:val="00B24414"/>
    <w:rsid w:val="00B24E90"/>
    <w:rsid w:val="00B260B2"/>
    <w:rsid w:val="00B3104F"/>
    <w:rsid w:val="00B331E3"/>
    <w:rsid w:val="00B37B5C"/>
    <w:rsid w:val="00B408B6"/>
    <w:rsid w:val="00B430D7"/>
    <w:rsid w:val="00B43B46"/>
    <w:rsid w:val="00B440E4"/>
    <w:rsid w:val="00B4542D"/>
    <w:rsid w:val="00B51E59"/>
    <w:rsid w:val="00B533D5"/>
    <w:rsid w:val="00B542DA"/>
    <w:rsid w:val="00B54DEE"/>
    <w:rsid w:val="00B5610A"/>
    <w:rsid w:val="00B5695A"/>
    <w:rsid w:val="00B579DA"/>
    <w:rsid w:val="00B60406"/>
    <w:rsid w:val="00B60445"/>
    <w:rsid w:val="00B61BD5"/>
    <w:rsid w:val="00B66148"/>
    <w:rsid w:val="00B66A1E"/>
    <w:rsid w:val="00B66E87"/>
    <w:rsid w:val="00B67C18"/>
    <w:rsid w:val="00B71407"/>
    <w:rsid w:val="00B717C9"/>
    <w:rsid w:val="00B73862"/>
    <w:rsid w:val="00B73F43"/>
    <w:rsid w:val="00B7434F"/>
    <w:rsid w:val="00B7472F"/>
    <w:rsid w:val="00B76C77"/>
    <w:rsid w:val="00B77E0B"/>
    <w:rsid w:val="00B818CD"/>
    <w:rsid w:val="00B83F82"/>
    <w:rsid w:val="00B8540D"/>
    <w:rsid w:val="00B85EF3"/>
    <w:rsid w:val="00B8620F"/>
    <w:rsid w:val="00B86E41"/>
    <w:rsid w:val="00B87962"/>
    <w:rsid w:val="00B91712"/>
    <w:rsid w:val="00B91A78"/>
    <w:rsid w:val="00B92698"/>
    <w:rsid w:val="00B92DDB"/>
    <w:rsid w:val="00B92FC3"/>
    <w:rsid w:val="00B972BD"/>
    <w:rsid w:val="00BA0CC4"/>
    <w:rsid w:val="00BA4E2C"/>
    <w:rsid w:val="00BA6B66"/>
    <w:rsid w:val="00BA6E48"/>
    <w:rsid w:val="00BB0393"/>
    <w:rsid w:val="00BB058C"/>
    <w:rsid w:val="00BB27F4"/>
    <w:rsid w:val="00BB2975"/>
    <w:rsid w:val="00BB7050"/>
    <w:rsid w:val="00BC0AD5"/>
    <w:rsid w:val="00BC52D9"/>
    <w:rsid w:val="00BC5BEF"/>
    <w:rsid w:val="00BC5E61"/>
    <w:rsid w:val="00BD0990"/>
    <w:rsid w:val="00BD193C"/>
    <w:rsid w:val="00BD3963"/>
    <w:rsid w:val="00BD3CAF"/>
    <w:rsid w:val="00BD48BB"/>
    <w:rsid w:val="00BD5E4F"/>
    <w:rsid w:val="00BD6E00"/>
    <w:rsid w:val="00BD7C1D"/>
    <w:rsid w:val="00BE0AF6"/>
    <w:rsid w:val="00BE1737"/>
    <w:rsid w:val="00BE1F03"/>
    <w:rsid w:val="00BE51C2"/>
    <w:rsid w:val="00BE58A7"/>
    <w:rsid w:val="00BE5DF8"/>
    <w:rsid w:val="00BE5EF1"/>
    <w:rsid w:val="00BE64D6"/>
    <w:rsid w:val="00BF1901"/>
    <w:rsid w:val="00BF21E3"/>
    <w:rsid w:val="00BF2218"/>
    <w:rsid w:val="00BF25FB"/>
    <w:rsid w:val="00BF2ED5"/>
    <w:rsid w:val="00BF31E6"/>
    <w:rsid w:val="00BF357D"/>
    <w:rsid w:val="00BF584F"/>
    <w:rsid w:val="00BF6454"/>
    <w:rsid w:val="00C01023"/>
    <w:rsid w:val="00C02A5F"/>
    <w:rsid w:val="00C03268"/>
    <w:rsid w:val="00C0426B"/>
    <w:rsid w:val="00C04410"/>
    <w:rsid w:val="00C045DF"/>
    <w:rsid w:val="00C04B6E"/>
    <w:rsid w:val="00C0670C"/>
    <w:rsid w:val="00C0706C"/>
    <w:rsid w:val="00C07DAA"/>
    <w:rsid w:val="00C07EC7"/>
    <w:rsid w:val="00C10EEC"/>
    <w:rsid w:val="00C11A6F"/>
    <w:rsid w:val="00C128CE"/>
    <w:rsid w:val="00C13BCC"/>
    <w:rsid w:val="00C156F8"/>
    <w:rsid w:val="00C16DFA"/>
    <w:rsid w:val="00C17C69"/>
    <w:rsid w:val="00C24D3A"/>
    <w:rsid w:val="00C25421"/>
    <w:rsid w:val="00C257D8"/>
    <w:rsid w:val="00C26D43"/>
    <w:rsid w:val="00C27355"/>
    <w:rsid w:val="00C318FC"/>
    <w:rsid w:val="00C334B0"/>
    <w:rsid w:val="00C34476"/>
    <w:rsid w:val="00C34DC6"/>
    <w:rsid w:val="00C35867"/>
    <w:rsid w:val="00C36D26"/>
    <w:rsid w:val="00C41081"/>
    <w:rsid w:val="00C418C3"/>
    <w:rsid w:val="00C42C37"/>
    <w:rsid w:val="00C43A0E"/>
    <w:rsid w:val="00C43EB5"/>
    <w:rsid w:val="00C46548"/>
    <w:rsid w:val="00C46594"/>
    <w:rsid w:val="00C46918"/>
    <w:rsid w:val="00C509D6"/>
    <w:rsid w:val="00C53085"/>
    <w:rsid w:val="00C53FF0"/>
    <w:rsid w:val="00C54701"/>
    <w:rsid w:val="00C574D5"/>
    <w:rsid w:val="00C61A7F"/>
    <w:rsid w:val="00C634A7"/>
    <w:rsid w:val="00C63D42"/>
    <w:rsid w:val="00C67309"/>
    <w:rsid w:val="00C675B3"/>
    <w:rsid w:val="00C70F77"/>
    <w:rsid w:val="00C72ACD"/>
    <w:rsid w:val="00C732D2"/>
    <w:rsid w:val="00C73F32"/>
    <w:rsid w:val="00C76CBE"/>
    <w:rsid w:val="00C779F2"/>
    <w:rsid w:val="00C81578"/>
    <w:rsid w:val="00C81583"/>
    <w:rsid w:val="00C818EE"/>
    <w:rsid w:val="00C82914"/>
    <w:rsid w:val="00C8297A"/>
    <w:rsid w:val="00C82E83"/>
    <w:rsid w:val="00C84CE3"/>
    <w:rsid w:val="00C85711"/>
    <w:rsid w:val="00C85B0B"/>
    <w:rsid w:val="00C87462"/>
    <w:rsid w:val="00C90738"/>
    <w:rsid w:val="00C90A51"/>
    <w:rsid w:val="00C92CB6"/>
    <w:rsid w:val="00C96A88"/>
    <w:rsid w:val="00C96C3E"/>
    <w:rsid w:val="00C96E4C"/>
    <w:rsid w:val="00C97570"/>
    <w:rsid w:val="00C97B7B"/>
    <w:rsid w:val="00CA180C"/>
    <w:rsid w:val="00CA1BC5"/>
    <w:rsid w:val="00CA2BB7"/>
    <w:rsid w:val="00CA33DA"/>
    <w:rsid w:val="00CA5D83"/>
    <w:rsid w:val="00CA6B3B"/>
    <w:rsid w:val="00CB07B0"/>
    <w:rsid w:val="00CB111D"/>
    <w:rsid w:val="00CB22B2"/>
    <w:rsid w:val="00CB26EB"/>
    <w:rsid w:val="00CC05EE"/>
    <w:rsid w:val="00CC2244"/>
    <w:rsid w:val="00CC28AC"/>
    <w:rsid w:val="00CC3EE2"/>
    <w:rsid w:val="00CC4430"/>
    <w:rsid w:val="00CC449F"/>
    <w:rsid w:val="00CC4AAB"/>
    <w:rsid w:val="00CC5FBE"/>
    <w:rsid w:val="00CC7C73"/>
    <w:rsid w:val="00CD05DA"/>
    <w:rsid w:val="00CD505D"/>
    <w:rsid w:val="00CD6FB7"/>
    <w:rsid w:val="00CD70CF"/>
    <w:rsid w:val="00CD7492"/>
    <w:rsid w:val="00CE0060"/>
    <w:rsid w:val="00CE0D4F"/>
    <w:rsid w:val="00CE1F8C"/>
    <w:rsid w:val="00CE3A6B"/>
    <w:rsid w:val="00CE3C2C"/>
    <w:rsid w:val="00CE5B91"/>
    <w:rsid w:val="00CE624B"/>
    <w:rsid w:val="00CE72F2"/>
    <w:rsid w:val="00CE7E9D"/>
    <w:rsid w:val="00CF0E90"/>
    <w:rsid w:val="00CF1BC9"/>
    <w:rsid w:val="00D00211"/>
    <w:rsid w:val="00D026E1"/>
    <w:rsid w:val="00D036D4"/>
    <w:rsid w:val="00D06309"/>
    <w:rsid w:val="00D13D22"/>
    <w:rsid w:val="00D14CF6"/>
    <w:rsid w:val="00D17DA7"/>
    <w:rsid w:val="00D20030"/>
    <w:rsid w:val="00D24099"/>
    <w:rsid w:val="00D2417D"/>
    <w:rsid w:val="00D24182"/>
    <w:rsid w:val="00D244B7"/>
    <w:rsid w:val="00D24B75"/>
    <w:rsid w:val="00D27455"/>
    <w:rsid w:val="00D31B1C"/>
    <w:rsid w:val="00D31CE3"/>
    <w:rsid w:val="00D326C2"/>
    <w:rsid w:val="00D33F12"/>
    <w:rsid w:val="00D349AB"/>
    <w:rsid w:val="00D351EA"/>
    <w:rsid w:val="00D3654E"/>
    <w:rsid w:val="00D37299"/>
    <w:rsid w:val="00D40288"/>
    <w:rsid w:val="00D404A5"/>
    <w:rsid w:val="00D41D0F"/>
    <w:rsid w:val="00D43403"/>
    <w:rsid w:val="00D43A41"/>
    <w:rsid w:val="00D449E1"/>
    <w:rsid w:val="00D45B43"/>
    <w:rsid w:val="00D45FB2"/>
    <w:rsid w:val="00D467D9"/>
    <w:rsid w:val="00D47C74"/>
    <w:rsid w:val="00D51232"/>
    <w:rsid w:val="00D516B4"/>
    <w:rsid w:val="00D5270B"/>
    <w:rsid w:val="00D533EA"/>
    <w:rsid w:val="00D5392E"/>
    <w:rsid w:val="00D56271"/>
    <w:rsid w:val="00D62E71"/>
    <w:rsid w:val="00D6427D"/>
    <w:rsid w:val="00D6430D"/>
    <w:rsid w:val="00D65534"/>
    <w:rsid w:val="00D656A5"/>
    <w:rsid w:val="00D65BDE"/>
    <w:rsid w:val="00D66188"/>
    <w:rsid w:val="00D67A1C"/>
    <w:rsid w:val="00D7275C"/>
    <w:rsid w:val="00D72CA4"/>
    <w:rsid w:val="00D72EAF"/>
    <w:rsid w:val="00D731F6"/>
    <w:rsid w:val="00D740CA"/>
    <w:rsid w:val="00D76DFD"/>
    <w:rsid w:val="00D772A8"/>
    <w:rsid w:val="00D7787C"/>
    <w:rsid w:val="00D8292C"/>
    <w:rsid w:val="00D8382B"/>
    <w:rsid w:val="00D84A94"/>
    <w:rsid w:val="00D85728"/>
    <w:rsid w:val="00D859A0"/>
    <w:rsid w:val="00D905F4"/>
    <w:rsid w:val="00D9126F"/>
    <w:rsid w:val="00D93A18"/>
    <w:rsid w:val="00D9507F"/>
    <w:rsid w:val="00D951C2"/>
    <w:rsid w:val="00D95481"/>
    <w:rsid w:val="00D95FE5"/>
    <w:rsid w:val="00D97ADD"/>
    <w:rsid w:val="00DA0102"/>
    <w:rsid w:val="00DA0C7B"/>
    <w:rsid w:val="00DA4282"/>
    <w:rsid w:val="00DA5434"/>
    <w:rsid w:val="00DA7ACE"/>
    <w:rsid w:val="00DB0635"/>
    <w:rsid w:val="00DB12A1"/>
    <w:rsid w:val="00DB47C1"/>
    <w:rsid w:val="00DB6E70"/>
    <w:rsid w:val="00DB707A"/>
    <w:rsid w:val="00DB7364"/>
    <w:rsid w:val="00DC2496"/>
    <w:rsid w:val="00DC3C20"/>
    <w:rsid w:val="00DC3C38"/>
    <w:rsid w:val="00DC4239"/>
    <w:rsid w:val="00DC7926"/>
    <w:rsid w:val="00DC7A13"/>
    <w:rsid w:val="00DD0A82"/>
    <w:rsid w:val="00DD0E77"/>
    <w:rsid w:val="00DD1A7E"/>
    <w:rsid w:val="00DD32D4"/>
    <w:rsid w:val="00DD34D4"/>
    <w:rsid w:val="00DD4B22"/>
    <w:rsid w:val="00DD6B1E"/>
    <w:rsid w:val="00DE23BC"/>
    <w:rsid w:val="00DE29D7"/>
    <w:rsid w:val="00DE3834"/>
    <w:rsid w:val="00DE4B47"/>
    <w:rsid w:val="00DE5B20"/>
    <w:rsid w:val="00DE628F"/>
    <w:rsid w:val="00DE69C5"/>
    <w:rsid w:val="00DE715C"/>
    <w:rsid w:val="00DF150B"/>
    <w:rsid w:val="00DF26BB"/>
    <w:rsid w:val="00DF2997"/>
    <w:rsid w:val="00DF449A"/>
    <w:rsid w:val="00E02336"/>
    <w:rsid w:val="00E024D8"/>
    <w:rsid w:val="00E0330B"/>
    <w:rsid w:val="00E047A2"/>
    <w:rsid w:val="00E10BC4"/>
    <w:rsid w:val="00E127C8"/>
    <w:rsid w:val="00E1392C"/>
    <w:rsid w:val="00E1415D"/>
    <w:rsid w:val="00E14B1E"/>
    <w:rsid w:val="00E166BC"/>
    <w:rsid w:val="00E16850"/>
    <w:rsid w:val="00E17EE1"/>
    <w:rsid w:val="00E20603"/>
    <w:rsid w:val="00E23C54"/>
    <w:rsid w:val="00E24F7D"/>
    <w:rsid w:val="00E25737"/>
    <w:rsid w:val="00E27D9C"/>
    <w:rsid w:val="00E3117D"/>
    <w:rsid w:val="00E3183F"/>
    <w:rsid w:val="00E31B15"/>
    <w:rsid w:val="00E322DE"/>
    <w:rsid w:val="00E323E9"/>
    <w:rsid w:val="00E3347C"/>
    <w:rsid w:val="00E33AAC"/>
    <w:rsid w:val="00E33D1C"/>
    <w:rsid w:val="00E34018"/>
    <w:rsid w:val="00E341D7"/>
    <w:rsid w:val="00E42C56"/>
    <w:rsid w:val="00E437D2"/>
    <w:rsid w:val="00E439DB"/>
    <w:rsid w:val="00E44A9C"/>
    <w:rsid w:val="00E45977"/>
    <w:rsid w:val="00E464A6"/>
    <w:rsid w:val="00E47762"/>
    <w:rsid w:val="00E51116"/>
    <w:rsid w:val="00E51872"/>
    <w:rsid w:val="00E525BB"/>
    <w:rsid w:val="00E53FBB"/>
    <w:rsid w:val="00E55751"/>
    <w:rsid w:val="00E56294"/>
    <w:rsid w:val="00E57BF2"/>
    <w:rsid w:val="00E605BE"/>
    <w:rsid w:val="00E60DFB"/>
    <w:rsid w:val="00E6352D"/>
    <w:rsid w:val="00E64552"/>
    <w:rsid w:val="00E64D40"/>
    <w:rsid w:val="00E64ED2"/>
    <w:rsid w:val="00E656E5"/>
    <w:rsid w:val="00E72B67"/>
    <w:rsid w:val="00E753B7"/>
    <w:rsid w:val="00E76E56"/>
    <w:rsid w:val="00E82648"/>
    <w:rsid w:val="00E86A15"/>
    <w:rsid w:val="00E90014"/>
    <w:rsid w:val="00E914BC"/>
    <w:rsid w:val="00E91D69"/>
    <w:rsid w:val="00E9270F"/>
    <w:rsid w:val="00E92FCA"/>
    <w:rsid w:val="00E937ED"/>
    <w:rsid w:val="00E93903"/>
    <w:rsid w:val="00E9585A"/>
    <w:rsid w:val="00E96420"/>
    <w:rsid w:val="00EA0A6E"/>
    <w:rsid w:val="00EA20B3"/>
    <w:rsid w:val="00EA2311"/>
    <w:rsid w:val="00EA4381"/>
    <w:rsid w:val="00EA48DC"/>
    <w:rsid w:val="00EA505F"/>
    <w:rsid w:val="00EA604F"/>
    <w:rsid w:val="00EA61D1"/>
    <w:rsid w:val="00EB17AD"/>
    <w:rsid w:val="00EB280D"/>
    <w:rsid w:val="00EB61DE"/>
    <w:rsid w:val="00EB6A7A"/>
    <w:rsid w:val="00EB7A7B"/>
    <w:rsid w:val="00EB7DB2"/>
    <w:rsid w:val="00EC0BD7"/>
    <w:rsid w:val="00EC1C28"/>
    <w:rsid w:val="00EC7515"/>
    <w:rsid w:val="00EC7BC3"/>
    <w:rsid w:val="00ED6449"/>
    <w:rsid w:val="00ED7600"/>
    <w:rsid w:val="00EF2304"/>
    <w:rsid w:val="00EF5035"/>
    <w:rsid w:val="00EF508B"/>
    <w:rsid w:val="00EF6073"/>
    <w:rsid w:val="00EF6270"/>
    <w:rsid w:val="00EF698B"/>
    <w:rsid w:val="00F00A4B"/>
    <w:rsid w:val="00F00BBB"/>
    <w:rsid w:val="00F00F1C"/>
    <w:rsid w:val="00F01F0A"/>
    <w:rsid w:val="00F04661"/>
    <w:rsid w:val="00F059CA"/>
    <w:rsid w:val="00F0683E"/>
    <w:rsid w:val="00F107CB"/>
    <w:rsid w:val="00F11CF4"/>
    <w:rsid w:val="00F11E82"/>
    <w:rsid w:val="00F11F61"/>
    <w:rsid w:val="00F12FDA"/>
    <w:rsid w:val="00F1362C"/>
    <w:rsid w:val="00F151E6"/>
    <w:rsid w:val="00F15480"/>
    <w:rsid w:val="00F15FBC"/>
    <w:rsid w:val="00F204F3"/>
    <w:rsid w:val="00F215AC"/>
    <w:rsid w:val="00F23B7B"/>
    <w:rsid w:val="00F24BEE"/>
    <w:rsid w:val="00F252A8"/>
    <w:rsid w:val="00F2598E"/>
    <w:rsid w:val="00F26531"/>
    <w:rsid w:val="00F2673D"/>
    <w:rsid w:val="00F30E8F"/>
    <w:rsid w:val="00F32AA1"/>
    <w:rsid w:val="00F32BE3"/>
    <w:rsid w:val="00F338F7"/>
    <w:rsid w:val="00F34C28"/>
    <w:rsid w:val="00F36C0D"/>
    <w:rsid w:val="00F414F1"/>
    <w:rsid w:val="00F43BEC"/>
    <w:rsid w:val="00F43D30"/>
    <w:rsid w:val="00F46207"/>
    <w:rsid w:val="00F47BF3"/>
    <w:rsid w:val="00F50747"/>
    <w:rsid w:val="00F508B8"/>
    <w:rsid w:val="00F51DAC"/>
    <w:rsid w:val="00F51E7F"/>
    <w:rsid w:val="00F52C55"/>
    <w:rsid w:val="00F534D9"/>
    <w:rsid w:val="00F54313"/>
    <w:rsid w:val="00F55981"/>
    <w:rsid w:val="00F57304"/>
    <w:rsid w:val="00F5793E"/>
    <w:rsid w:val="00F57BA7"/>
    <w:rsid w:val="00F60BA9"/>
    <w:rsid w:val="00F6255B"/>
    <w:rsid w:val="00F62F0A"/>
    <w:rsid w:val="00F64495"/>
    <w:rsid w:val="00F65E04"/>
    <w:rsid w:val="00F6667A"/>
    <w:rsid w:val="00F67F4A"/>
    <w:rsid w:val="00F72CB1"/>
    <w:rsid w:val="00F72DE0"/>
    <w:rsid w:val="00F74391"/>
    <w:rsid w:val="00F771BB"/>
    <w:rsid w:val="00F8215E"/>
    <w:rsid w:val="00F822E8"/>
    <w:rsid w:val="00F824F5"/>
    <w:rsid w:val="00F85081"/>
    <w:rsid w:val="00F85290"/>
    <w:rsid w:val="00F868C0"/>
    <w:rsid w:val="00F908A0"/>
    <w:rsid w:val="00F90E18"/>
    <w:rsid w:val="00F91799"/>
    <w:rsid w:val="00F9374D"/>
    <w:rsid w:val="00F97B3B"/>
    <w:rsid w:val="00FA33AC"/>
    <w:rsid w:val="00FA5FCA"/>
    <w:rsid w:val="00FB009D"/>
    <w:rsid w:val="00FB46DB"/>
    <w:rsid w:val="00FB6D9A"/>
    <w:rsid w:val="00FC1902"/>
    <w:rsid w:val="00FC29B9"/>
    <w:rsid w:val="00FC2E93"/>
    <w:rsid w:val="00FC3509"/>
    <w:rsid w:val="00FC3B28"/>
    <w:rsid w:val="00FC4CDE"/>
    <w:rsid w:val="00FC4FEE"/>
    <w:rsid w:val="00FC656A"/>
    <w:rsid w:val="00FC6EE4"/>
    <w:rsid w:val="00FC6FD3"/>
    <w:rsid w:val="00FC74A7"/>
    <w:rsid w:val="00FD0076"/>
    <w:rsid w:val="00FD3D5A"/>
    <w:rsid w:val="00FD3D85"/>
    <w:rsid w:val="00FD4184"/>
    <w:rsid w:val="00FD47BB"/>
    <w:rsid w:val="00FD49BB"/>
    <w:rsid w:val="00FD67C5"/>
    <w:rsid w:val="00FE165C"/>
    <w:rsid w:val="00FE2A42"/>
    <w:rsid w:val="00FE305C"/>
    <w:rsid w:val="00FE3405"/>
    <w:rsid w:val="00FE753E"/>
    <w:rsid w:val="00FF0301"/>
    <w:rsid w:val="00FF0A2C"/>
    <w:rsid w:val="00FF2C59"/>
    <w:rsid w:val="00FF3175"/>
    <w:rsid w:val="00FF3442"/>
    <w:rsid w:val="00FF4948"/>
    <w:rsid w:val="00FF56C0"/>
    <w:rsid w:val="00FF6C20"/>
    <w:rsid w:val="00FF70AD"/>
    <w:rsid w:val="10638B9A"/>
    <w:rsid w:val="2F9917C4"/>
    <w:rsid w:val="2FAB53CF"/>
    <w:rsid w:val="670DCF8B"/>
    <w:rsid w:val="73ADE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ilvl w:val="1"/>
        <w:numId w:val="19"/>
      </w:numPr>
    </w:pPr>
    <w:rPr>
      <w:lang w:val="en-US"/>
    </w:rPr>
  </w:style>
  <w:style w:type="paragraph" w:customStyle="1" w:styleId="RAN4H1">
    <w:name w:val="RAN4 H1"/>
    <w:basedOn w:val="Normal"/>
    <w:next w:val="Normal"/>
    <w:link w:val="RAN4H1Char"/>
    <w:qFormat/>
    <w:rsid w:val="00AE56B1"/>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E4AB5"/>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6E4AB5"/>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96387"/>
    <w:pPr>
      <w:ind w:left="0" w:firstLine="0"/>
    </w:pPr>
    <w:rPr>
      <w:lang w:val="en-US"/>
    </w:rPr>
  </w:style>
  <w:style w:type="character" w:customStyle="1" w:styleId="RAN4observationChar0">
    <w:name w:val="RAN4 observation Char"/>
    <w:basedOn w:val="RAN4ObservationChar"/>
    <w:link w:val="RAN4observation0"/>
    <w:rsid w:val="0029638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9"/>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rnard MT Condensed" w:hAnsi="Bernard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D41D0F"/>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3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3223</Words>
  <Characters>18376</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21556</CharactersWithSpaces>
  <SharedDoc>false</SharedDoc>
  <HLinks>
    <vt:vector size="138" baseType="variant">
      <vt:variant>
        <vt:i4>1441842</vt:i4>
      </vt:variant>
      <vt:variant>
        <vt:i4>101</vt:i4>
      </vt:variant>
      <vt:variant>
        <vt:i4>0</vt:i4>
      </vt:variant>
      <vt:variant>
        <vt:i4>5</vt:i4>
      </vt:variant>
      <vt:variant>
        <vt:lpwstr/>
      </vt:variant>
      <vt:variant>
        <vt:lpwstr>_Toc127557118</vt:lpwstr>
      </vt:variant>
      <vt:variant>
        <vt:i4>1441842</vt:i4>
      </vt:variant>
      <vt:variant>
        <vt:i4>98</vt:i4>
      </vt:variant>
      <vt:variant>
        <vt:i4>0</vt:i4>
      </vt:variant>
      <vt:variant>
        <vt:i4>5</vt:i4>
      </vt:variant>
      <vt:variant>
        <vt:lpwstr/>
      </vt:variant>
      <vt:variant>
        <vt:lpwstr>_Toc127557117</vt:lpwstr>
      </vt:variant>
      <vt:variant>
        <vt:i4>1441842</vt:i4>
      </vt:variant>
      <vt:variant>
        <vt:i4>95</vt:i4>
      </vt:variant>
      <vt:variant>
        <vt:i4>0</vt:i4>
      </vt:variant>
      <vt:variant>
        <vt:i4>5</vt:i4>
      </vt:variant>
      <vt:variant>
        <vt:lpwstr/>
      </vt:variant>
      <vt:variant>
        <vt:lpwstr>_Toc127557116</vt:lpwstr>
      </vt:variant>
      <vt:variant>
        <vt:i4>1441842</vt:i4>
      </vt:variant>
      <vt:variant>
        <vt:i4>92</vt:i4>
      </vt:variant>
      <vt:variant>
        <vt:i4>0</vt:i4>
      </vt:variant>
      <vt:variant>
        <vt:i4>5</vt:i4>
      </vt:variant>
      <vt:variant>
        <vt:lpwstr/>
      </vt:variant>
      <vt:variant>
        <vt:lpwstr>_Toc127557115</vt:lpwstr>
      </vt:variant>
      <vt:variant>
        <vt:i4>1441842</vt:i4>
      </vt:variant>
      <vt:variant>
        <vt:i4>89</vt:i4>
      </vt:variant>
      <vt:variant>
        <vt:i4>0</vt:i4>
      </vt:variant>
      <vt:variant>
        <vt:i4>5</vt:i4>
      </vt:variant>
      <vt:variant>
        <vt:lpwstr/>
      </vt:variant>
      <vt:variant>
        <vt:lpwstr>_Toc127557114</vt:lpwstr>
      </vt:variant>
      <vt:variant>
        <vt:i4>1441842</vt:i4>
      </vt:variant>
      <vt:variant>
        <vt:i4>86</vt:i4>
      </vt:variant>
      <vt:variant>
        <vt:i4>0</vt:i4>
      </vt:variant>
      <vt:variant>
        <vt:i4>5</vt:i4>
      </vt:variant>
      <vt:variant>
        <vt:lpwstr/>
      </vt:variant>
      <vt:variant>
        <vt:lpwstr>_Toc127557113</vt:lpwstr>
      </vt:variant>
      <vt:variant>
        <vt:i4>1441842</vt:i4>
      </vt:variant>
      <vt:variant>
        <vt:i4>83</vt:i4>
      </vt:variant>
      <vt:variant>
        <vt:i4>0</vt:i4>
      </vt:variant>
      <vt:variant>
        <vt:i4>5</vt:i4>
      </vt:variant>
      <vt:variant>
        <vt:lpwstr/>
      </vt:variant>
      <vt:variant>
        <vt:lpwstr>_Toc127557112</vt:lpwstr>
      </vt:variant>
      <vt:variant>
        <vt:i4>1441842</vt:i4>
      </vt:variant>
      <vt:variant>
        <vt:i4>80</vt:i4>
      </vt:variant>
      <vt:variant>
        <vt:i4>0</vt:i4>
      </vt:variant>
      <vt:variant>
        <vt:i4>5</vt:i4>
      </vt:variant>
      <vt:variant>
        <vt:lpwstr/>
      </vt:variant>
      <vt:variant>
        <vt:lpwstr>_Toc127557111</vt:lpwstr>
      </vt:variant>
      <vt:variant>
        <vt:i4>1441842</vt:i4>
      </vt:variant>
      <vt:variant>
        <vt:i4>77</vt:i4>
      </vt:variant>
      <vt:variant>
        <vt:i4>0</vt:i4>
      </vt:variant>
      <vt:variant>
        <vt:i4>5</vt:i4>
      </vt:variant>
      <vt:variant>
        <vt:lpwstr/>
      </vt:variant>
      <vt:variant>
        <vt:lpwstr>_Toc127557110</vt:lpwstr>
      </vt:variant>
      <vt:variant>
        <vt:i4>1507378</vt:i4>
      </vt:variant>
      <vt:variant>
        <vt:i4>74</vt:i4>
      </vt:variant>
      <vt:variant>
        <vt:i4>0</vt:i4>
      </vt:variant>
      <vt:variant>
        <vt:i4>5</vt:i4>
      </vt:variant>
      <vt:variant>
        <vt:lpwstr/>
      </vt:variant>
      <vt:variant>
        <vt:lpwstr>_Toc127557109</vt:lpwstr>
      </vt:variant>
      <vt:variant>
        <vt:i4>1507378</vt:i4>
      </vt:variant>
      <vt:variant>
        <vt:i4>71</vt:i4>
      </vt:variant>
      <vt:variant>
        <vt:i4>0</vt:i4>
      </vt:variant>
      <vt:variant>
        <vt:i4>5</vt:i4>
      </vt:variant>
      <vt:variant>
        <vt:lpwstr/>
      </vt:variant>
      <vt:variant>
        <vt:lpwstr>_Toc127557108</vt:lpwstr>
      </vt:variant>
      <vt:variant>
        <vt:i4>1507378</vt:i4>
      </vt:variant>
      <vt:variant>
        <vt:i4>68</vt:i4>
      </vt:variant>
      <vt:variant>
        <vt:i4>0</vt:i4>
      </vt:variant>
      <vt:variant>
        <vt:i4>5</vt:i4>
      </vt:variant>
      <vt:variant>
        <vt:lpwstr/>
      </vt:variant>
      <vt:variant>
        <vt:lpwstr>_Toc127557107</vt:lpwstr>
      </vt:variant>
      <vt:variant>
        <vt:i4>1507378</vt:i4>
      </vt:variant>
      <vt:variant>
        <vt:i4>65</vt:i4>
      </vt:variant>
      <vt:variant>
        <vt:i4>0</vt:i4>
      </vt:variant>
      <vt:variant>
        <vt:i4>5</vt:i4>
      </vt:variant>
      <vt:variant>
        <vt:lpwstr/>
      </vt:variant>
      <vt:variant>
        <vt:lpwstr>_Toc127557106</vt:lpwstr>
      </vt:variant>
      <vt:variant>
        <vt:i4>1507378</vt:i4>
      </vt:variant>
      <vt:variant>
        <vt:i4>62</vt:i4>
      </vt:variant>
      <vt:variant>
        <vt:i4>0</vt:i4>
      </vt:variant>
      <vt:variant>
        <vt:i4>5</vt:i4>
      </vt:variant>
      <vt:variant>
        <vt:lpwstr/>
      </vt:variant>
      <vt:variant>
        <vt:lpwstr>_Toc127557105</vt:lpwstr>
      </vt:variant>
      <vt:variant>
        <vt:i4>1507378</vt:i4>
      </vt:variant>
      <vt:variant>
        <vt:i4>59</vt:i4>
      </vt:variant>
      <vt:variant>
        <vt:i4>0</vt:i4>
      </vt:variant>
      <vt:variant>
        <vt:i4>5</vt:i4>
      </vt:variant>
      <vt:variant>
        <vt:lpwstr/>
      </vt:variant>
      <vt:variant>
        <vt:lpwstr>_Toc127557104</vt:lpwstr>
      </vt:variant>
      <vt:variant>
        <vt:i4>1507378</vt:i4>
      </vt:variant>
      <vt:variant>
        <vt:i4>56</vt:i4>
      </vt:variant>
      <vt:variant>
        <vt:i4>0</vt:i4>
      </vt:variant>
      <vt:variant>
        <vt:i4>5</vt:i4>
      </vt:variant>
      <vt:variant>
        <vt:lpwstr/>
      </vt:variant>
      <vt:variant>
        <vt:lpwstr>_Toc127557103</vt:lpwstr>
      </vt:variant>
      <vt:variant>
        <vt:i4>1507378</vt:i4>
      </vt:variant>
      <vt:variant>
        <vt:i4>53</vt:i4>
      </vt:variant>
      <vt:variant>
        <vt:i4>0</vt:i4>
      </vt:variant>
      <vt:variant>
        <vt:i4>5</vt:i4>
      </vt:variant>
      <vt:variant>
        <vt:lpwstr/>
      </vt:variant>
      <vt:variant>
        <vt:lpwstr>_Toc127557102</vt:lpwstr>
      </vt:variant>
      <vt:variant>
        <vt:i4>1507378</vt:i4>
      </vt:variant>
      <vt:variant>
        <vt:i4>50</vt:i4>
      </vt:variant>
      <vt:variant>
        <vt:i4>0</vt:i4>
      </vt:variant>
      <vt:variant>
        <vt:i4>5</vt:i4>
      </vt:variant>
      <vt:variant>
        <vt:lpwstr/>
      </vt:variant>
      <vt:variant>
        <vt:lpwstr>_Toc127557101</vt:lpwstr>
      </vt:variant>
      <vt:variant>
        <vt:i4>1507378</vt:i4>
      </vt:variant>
      <vt:variant>
        <vt:i4>47</vt:i4>
      </vt:variant>
      <vt:variant>
        <vt:i4>0</vt:i4>
      </vt:variant>
      <vt:variant>
        <vt:i4>5</vt:i4>
      </vt:variant>
      <vt:variant>
        <vt:lpwstr/>
      </vt:variant>
      <vt:variant>
        <vt:lpwstr>_Toc127557100</vt:lpwstr>
      </vt:variant>
      <vt:variant>
        <vt:i4>1966131</vt:i4>
      </vt:variant>
      <vt:variant>
        <vt:i4>44</vt:i4>
      </vt:variant>
      <vt:variant>
        <vt:i4>0</vt:i4>
      </vt:variant>
      <vt:variant>
        <vt:i4>5</vt:i4>
      </vt:variant>
      <vt:variant>
        <vt:lpwstr/>
      </vt:variant>
      <vt:variant>
        <vt:lpwstr>_Toc127557099</vt:lpwstr>
      </vt:variant>
      <vt:variant>
        <vt:i4>1966131</vt:i4>
      </vt:variant>
      <vt:variant>
        <vt:i4>41</vt:i4>
      </vt:variant>
      <vt:variant>
        <vt:i4>0</vt:i4>
      </vt:variant>
      <vt:variant>
        <vt:i4>5</vt:i4>
      </vt:variant>
      <vt:variant>
        <vt:lpwstr/>
      </vt:variant>
      <vt:variant>
        <vt:lpwstr>_Toc127557098</vt:lpwstr>
      </vt:variant>
      <vt:variant>
        <vt:i4>1966131</vt:i4>
      </vt:variant>
      <vt:variant>
        <vt:i4>38</vt:i4>
      </vt:variant>
      <vt:variant>
        <vt:i4>0</vt:i4>
      </vt:variant>
      <vt:variant>
        <vt:i4>5</vt:i4>
      </vt:variant>
      <vt:variant>
        <vt:lpwstr/>
      </vt:variant>
      <vt:variant>
        <vt:lpwstr>_Toc127557097</vt:lpwstr>
      </vt:variant>
      <vt:variant>
        <vt:i4>1966131</vt:i4>
      </vt:variant>
      <vt:variant>
        <vt:i4>35</vt:i4>
      </vt:variant>
      <vt:variant>
        <vt:i4>0</vt:i4>
      </vt:variant>
      <vt:variant>
        <vt:i4>5</vt:i4>
      </vt:variant>
      <vt:variant>
        <vt:lpwstr/>
      </vt:variant>
      <vt:variant>
        <vt:lpwstr>_Toc127557096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2023-02-17T19:15:00Z</dcterms:created>
  <dcterms:modified xsi:type="dcterms:W3CDTF">2023-02-17T19:15:00Z</dcterms:modified>
</cp:coreProperties>
</file>